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ABAF1" w14:textId="77777777" w:rsidR="005D1FA0" w:rsidRDefault="005D1FA0" w:rsidP="005D1FA0">
      <w:pPr>
        <w:pStyle w:val="BodyText"/>
        <w:ind w:left="0"/>
        <w:jc w:val="center"/>
      </w:pPr>
      <w:bookmarkStart w:id="0" w:name="_Hlk11498611"/>
      <w:r>
        <w:rPr>
          <w:noProof/>
          <w:lang w:eastAsia="en-AU"/>
        </w:rPr>
        <w:drawing>
          <wp:inline distT="0" distB="0" distL="0" distR="0" wp14:anchorId="31BB5CD7" wp14:editId="3CDF18F7">
            <wp:extent cx="1371600" cy="144471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Gov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444713"/>
                    </a:xfrm>
                    <a:prstGeom prst="rect">
                      <a:avLst/>
                    </a:prstGeom>
                  </pic:spPr>
                </pic:pic>
              </a:graphicData>
            </a:graphic>
          </wp:inline>
        </w:drawing>
      </w:r>
    </w:p>
    <w:p w14:paraId="7B528B09" w14:textId="65F8B663" w:rsidR="005D1FA0" w:rsidRPr="005D1FA0" w:rsidRDefault="00DE5082" w:rsidP="005D1FA0">
      <w:pPr>
        <w:pStyle w:val="DeedHeading"/>
        <w:pBdr>
          <w:top w:val="none" w:sz="0" w:space="0" w:color="auto"/>
        </w:pBdr>
        <w:jc w:val="center"/>
        <w:rPr>
          <w:color w:val="000000" w:themeColor="text1"/>
        </w:rPr>
      </w:pPr>
      <w:r>
        <w:rPr>
          <w:color w:val="000000" w:themeColor="text1"/>
        </w:rPr>
        <w:t xml:space="preserve">Digital Engineering Services </w:t>
      </w:r>
      <w:r w:rsidR="002E7CC0">
        <w:rPr>
          <w:color w:val="000000" w:themeColor="text1"/>
        </w:rPr>
        <w:t>Prequalification</w:t>
      </w:r>
      <w:r>
        <w:rPr>
          <w:color w:val="000000" w:themeColor="text1"/>
        </w:rPr>
        <w:t xml:space="preserve"> Scheme </w:t>
      </w:r>
    </w:p>
    <w:p w14:paraId="28ACD028" w14:textId="77777777" w:rsidR="005D1FA0" w:rsidRDefault="005D1FA0" w:rsidP="005D1FA0">
      <w:pPr>
        <w:pStyle w:val="DeedSubHeading"/>
        <w:tabs>
          <w:tab w:val="left" w:pos="6060"/>
        </w:tabs>
        <w:jc w:val="center"/>
      </w:pPr>
      <w:r>
        <w:t>Head Agreement</w:t>
      </w:r>
    </w:p>
    <w:p w14:paraId="08BA59FD" w14:textId="77777777" w:rsidR="005D1FA0" w:rsidRPr="005D1FA0" w:rsidRDefault="005D1FA0" w:rsidP="005D1FA0">
      <w:pPr>
        <w:pStyle w:val="DeedSubHeading"/>
        <w:tabs>
          <w:tab w:val="left" w:pos="6060"/>
        </w:tabs>
        <w:spacing w:before="0"/>
        <w:jc w:val="center"/>
        <w:rPr>
          <w:sz w:val="16"/>
          <w:szCs w:val="16"/>
        </w:rPr>
      </w:pPr>
    </w:p>
    <w:p w14:paraId="701AEF03" w14:textId="77777777" w:rsidR="00342D3D" w:rsidRDefault="00836EE7" w:rsidP="00042599">
      <w:pPr>
        <w:pStyle w:val="Heading1NoNumber"/>
        <w:ind w:firstLine="0"/>
      </w:pPr>
      <w:r>
        <w:t>Head Agreement Details</w:t>
      </w:r>
    </w:p>
    <w:tbl>
      <w:tblPr>
        <w:tblStyle w:val="TableGrid10"/>
        <w:tblW w:w="8964" w:type="dxa"/>
        <w:tblInd w:w="108" w:type="dxa"/>
        <w:tblBorders>
          <w:top w:val="single" w:sz="6" w:space="0" w:color="000000"/>
          <w:bottom w:val="single" w:sz="6" w:space="0" w:color="000000"/>
          <w:insideH w:val="single" w:sz="6" w:space="0" w:color="000000"/>
        </w:tblBorders>
        <w:tblLayout w:type="fixed"/>
        <w:tblLook w:val="04A0" w:firstRow="1" w:lastRow="0" w:firstColumn="1" w:lastColumn="0" w:noHBand="0" w:noVBand="1"/>
      </w:tblPr>
      <w:tblGrid>
        <w:gridCol w:w="1843"/>
        <w:gridCol w:w="1877"/>
        <w:gridCol w:w="5244"/>
      </w:tblGrid>
      <w:tr w:rsidR="00042599" w:rsidRPr="00D55FA6" w14:paraId="07BA94D0" w14:textId="77777777" w:rsidTr="003C0F93">
        <w:trPr>
          <w:trHeight w:val="394"/>
        </w:trPr>
        <w:tc>
          <w:tcPr>
            <w:tcW w:w="1843" w:type="dxa"/>
            <w:shd w:val="clear" w:color="auto" w:fill="0047BB"/>
          </w:tcPr>
          <w:p w14:paraId="54503775" w14:textId="77777777" w:rsidR="00042599" w:rsidRPr="00D7090C" w:rsidRDefault="0067614D" w:rsidP="0067614D">
            <w:pPr>
              <w:spacing w:after="60" w:line="240" w:lineRule="auto"/>
              <w:contextualSpacing/>
              <w:rPr>
                <w:b/>
                <w:color w:val="FFFFFF" w:themeColor="background1"/>
              </w:rPr>
            </w:pPr>
            <w:r w:rsidRPr="00D7090C">
              <w:rPr>
                <w:b/>
                <w:color w:val="FFFFFF" w:themeColor="background1"/>
              </w:rPr>
              <w:t>Date of this Head Agreement</w:t>
            </w:r>
          </w:p>
        </w:tc>
        <w:tc>
          <w:tcPr>
            <w:tcW w:w="1877" w:type="dxa"/>
            <w:shd w:val="clear" w:color="auto" w:fill="B9D9EB"/>
          </w:tcPr>
          <w:p w14:paraId="246C569A" w14:textId="77777777" w:rsidR="00042599" w:rsidRPr="00836EE7" w:rsidRDefault="0067614D" w:rsidP="009E77E3">
            <w:pPr>
              <w:spacing w:after="60" w:line="240" w:lineRule="auto"/>
            </w:pPr>
            <w:r>
              <w:t>Date</w:t>
            </w:r>
          </w:p>
        </w:tc>
        <w:tc>
          <w:tcPr>
            <w:tcW w:w="5244" w:type="dxa"/>
          </w:tcPr>
          <w:p w14:paraId="6B431647" w14:textId="79B4661B" w:rsidR="00042599" w:rsidRPr="00836EE7" w:rsidRDefault="0067614D" w:rsidP="009E77E3">
            <w:pPr>
              <w:spacing w:after="60" w:line="240" w:lineRule="auto"/>
            </w:pPr>
            <w:r>
              <w:t>[</w:t>
            </w:r>
            <w:r w:rsidRPr="0067614D">
              <w:rPr>
                <w:highlight w:val="yellow"/>
              </w:rPr>
              <w:t>Insert</w:t>
            </w:r>
            <w:r>
              <w:t>]</w:t>
            </w:r>
          </w:p>
        </w:tc>
      </w:tr>
    </w:tbl>
    <w:p w14:paraId="1BEB9C26" w14:textId="77777777" w:rsidR="006D7A17" w:rsidRDefault="006D7A17"/>
    <w:tbl>
      <w:tblPr>
        <w:tblStyle w:val="TableGrid10"/>
        <w:tblW w:w="8964" w:type="dxa"/>
        <w:tblInd w:w="108" w:type="dxa"/>
        <w:tblBorders>
          <w:top w:val="single" w:sz="6" w:space="0" w:color="000000"/>
          <w:bottom w:val="single" w:sz="6" w:space="0" w:color="000000"/>
          <w:insideH w:val="single" w:sz="6" w:space="0" w:color="000000"/>
        </w:tblBorders>
        <w:tblLayout w:type="fixed"/>
        <w:tblLook w:val="04A0" w:firstRow="1" w:lastRow="0" w:firstColumn="1" w:lastColumn="0" w:noHBand="0" w:noVBand="1"/>
      </w:tblPr>
      <w:tblGrid>
        <w:gridCol w:w="1843"/>
        <w:gridCol w:w="1877"/>
        <w:gridCol w:w="5244"/>
      </w:tblGrid>
      <w:tr w:rsidR="0021329F" w:rsidRPr="00D55FA6" w14:paraId="2EC009EA" w14:textId="77777777" w:rsidTr="003C0F93">
        <w:trPr>
          <w:trHeight w:val="394"/>
        </w:trPr>
        <w:tc>
          <w:tcPr>
            <w:tcW w:w="1843" w:type="dxa"/>
            <w:vMerge w:val="restart"/>
            <w:shd w:val="clear" w:color="auto" w:fill="0047BB"/>
            <w:vAlign w:val="center"/>
          </w:tcPr>
          <w:p w14:paraId="38D21434" w14:textId="77777777" w:rsidR="0021329F" w:rsidRPr="00D7090C" w:rsidRDefault="0021329F" w:rsidP="0021329F">
            <w:pPr>
              <w:spacing w:after="60" w:line="240" w:lineRule="auto"/>
              <w:rPr>
                <w:b/>
                <w:color w:val="FFFFFF" w:themeColor="background1"/>
              </w:rPr>
            </w:pPr>
            <w:bookmarkStart w:id="1" w:name="txtPartyBody"/>
            <w:bookmarkEnd w:id="1"/>
            <w:r>
              <w:rPr>
                <w:b/>
                <w:color w:val="FFFFFF" w:themeColor="background1"/>
              </w:rPr>
              <w:t>Parties</w:t>
            </w:r>
          </w:p>
        </w:tc>
        <w:tc>
          <w:tcPr>
            <w:tcW w:w="1877" w:type="dxa"/>
            <w:shd w:val="clear" w:color="auto" w:fill="B9D9EB"/>
          </w:tcPr>
          <w:p w14:paraId="6E5DE3C8" w14:textId="7D6B5E42" w:rsidR="0021329F" w:rsidRPr="00836EE7" w:rsidRDefault="002E7CC0" w:rsidP="009E77E3">
            <w:pPr>
              <w:spacing w:after="60" w:line="240" w:lineRule="auto"/>
            </w:pPr>
            <w:proofErr w:type="spellStart"/>
            <w:r>
              <w:t>TfNSW</w:t>
            </w:r>
            <w:proofErr w:type="spellEnd"/>
          </w:p>
        </w:tc>
        <w:tc>
          <w:tcPr>
            <w:tcW w:w="5244" w:type="dxa"/>
          </w:tcPr>
          <w:p w14:paraId="22F86825" w14:textId="38808CD5" w:rsidR="0021329F" w:rsidRPr="00836EE7" w:rsidRDefault="00452C76" w:rsidP="009E77E3">
            <w:pPr>
              <w:spacing w:after="60" w:line="240" w:lineRule="auto"/>
            </w:pPr>
            <w:r>
              <w:t>Transport for NSW</w:t>
            </w:r>
          </w:p>
        </w:tc>
      </w:tr>
      <w:tr w:rsidR="0021329F" w:rsidRPr="00D55FA6" w14:paraId="71E4284F" w14:textId="77777777" w:rsidTr="003C0F93">
        <w:trPr>
          <w:trHeight w:val="394"/>
        </w:trPr>
        <w:tc>
          <w:tcPr>
            <w:tcW w:w="1843" w:type="dxa"/>
            <w:vMerge/>
            <w:shd w:val="clear" w:color="auto" w:fill="0047BB"/>
          </w:tcPr>
          <w:p w14:paraId="184931DF" w14:textId="77777777" w:rsidR="0021329F" w:rsidRPr="00D7090C" w:rsidRDefault="0021329F" w:rsidP="0067614D">
            <w:pPr>
              <w:spacing w:after="60" w:line="240" w:lineRule="auto"/>
              <w:rPr>
                <w:b/>
                <w:color w:val="FFFFFF" w:themeColor="background1"/>
              </w:rPr>
            </w:pPr>
          </w:p>
        </w:tc>
        <w:tc>
          <w:tcPr>
            <w:tcW w:w="1877" w:type="dxa"/>
            <w:shd w:val="clear" w:color="auto" w:fill="B9D9EB"/>
          </w:tcPr>
          <w:p w14:paraId="4B0B0603" w14:textId="37489FF6" w:rsidR="0021329F" w:rsidRPr="00836EE7" w:rsidRDefault="0021329F" w:rsidP="009E77E3">
            <w:pPr>
              <w:spacing w:after="60" w:line="240" w:lineRule="auto"/>
            </w:pPr>
            <w:r w:rsidRPr="00836EE7">
              <w:t>Address</w:t>
            </w:r>
            <w:r>
              <w:t xml:space="preserve"> of </w:t>
            </w:r>
            <w:proofErr w:type="spellStart"/>
            <w:r w:rsidR="002E7CC0">
              <w:t>TfNSW</w:t>
            </w:r>
            <w:proofErr w:type="spellEnd"/>
            <w:r>
              <w:t xml:space="preserve"> </w:t>
            </w:r>
          </w:p>
        </w:tc>
        <w:tc>
          <w:tcPr>
            <w:tcW w:w="5244" w:type="dxa"/>
          </w:tcPr>
          <w:p w14:paraId="00F27E4E" w14:textId="5F0E19C8" w:rsidR="0021329F" w:rsidRPr="00836EE7" w:rsidRDefault="00DB3E7B" w:rsidP="009E77E3">
            <w:pPr>
              <w:spacing w:after="60" w:line="240" w:lineRule="auto"/>
            </w:pPr>
            <w:r>
              <w:t>18 Lee Street, Chippendale NSW 2008</w:t>
            </w:r>
          </w:p>
        </w:tc>
      </w:tr>
      <w:tr w:rsidR="0021329F" w:rsidRPr="00D55FA6" w14:paraId="5C38014B" w14:textId="77777777" w:rsidTr="003C0F93">
        <w:trPr>
          <w:trHeight w:val="394"/>
        </w:trPr>
        <w:tc>
          <w:tcPr>
            <w:tcW w:w="1843" w:type="dxa"/>
            <w:vMerge/>
            <w:shd w:val="clear" w:color="auto" w:fill="0047BB"/>
          </w:tcPr>
          <w:p w14:paraId="58EB64D2" w14:textId="77777777" w:rsidR="0021329F" w:rsidRPr="00D7090C" w:rsidRDefault="0021329F" w:rsidP="0067614D">
            <w:pPr>
              <w:spacing w:after="60" w:line="240" w:lineRule="auto"/>
              <w:rPr>
                <w:b/>
                <w:color w:val="FFFFFF" w:themeColor="background1"/>
              </w:rPr>
            </w:pPr>
          </w:p>
        </w:tc>
        <w:tc>
          <w:tcPr>
            <w:tcW w:w="1877" w:type="dxa"/>
            <w:shd w:val="clear" w:color="auto" w:fill="B9D9EB"/>
          </w:tcPr>
          <w:p w14:paraId="5987B6E9" w14:textId="26698883" w:rsidR="0021329F" w:rsidRPr="00836EE7" w:rsidRDefault="00D82BC0" w:rsidP="009E77E3">
            <w:pPr>
              <w:spacing w:after="60" w:line="240" w:lineRule="auto"/>
            </w:pPr>
            <w:r>
              <w:t>Supplier</w:t>
            </w:r>
            <w:r w:rsidR="0021329F" w:rsidRPr="00836EE7">
              <w:t xml:space="preserve"> </w:t>
            </w:r>
          </w:p>
        </w:tc>
        <w:tc>
          <w:tcPr>
            <w:tcW w:w="5244" w:type="dxa"/>
          </w:tcPr>
          <w:p w14:paraId="4680F4B1" w14:textId="4CE3C485" w:rsidR="0021329F" w:rsidRPr="00836EE7" w:rsidRDefault="0021329F" w:rsidP="009E77E3">
            <w:pPr>
              <w:spacing w:after="60" w:line="240" w:lineRule="auto"/>
            </w:pPr>
            <w:r w:rsidRPr="00836EE7">
              <w:t>[</w:t>
            </w:r>
            <w:r w:rsidR="00D82BC0">
              <w:rPr>
                <w:highlight w:val="yellow"/>
              </w:rPr>
              <w:t>Supplier</w:t>
            </w:r>
            <w:r w:rsidRPr="00836EE7">
              <w:rPr>
                <w:highlight w:val="yellow"/>
              </w:rPr>
              <w:t xml:space="preserve"> name]</w:t>
            </w:r>
            <w:r w:rsidRPr="00836EE7">
              <w:t xml:space="preserve"> (ABN [</w:t>
            </w:r>
            <w:r w:rsidRPr="00836EE7">
              <w:rPr>
                <w:highlight w:val="yellow"/>
              </w:rPr>
              <w:t>insert</w:t>
            </w:r>
            <w:r w:rsidRPr="00836EE7">
              <w:t xml:space="preserve">]) </w:t>
            </w:r>
          </w:p>
        </w:tc>
      </w:tr>
      <w:tr w:rsidR="0021329F" w:rsidRPr="00D55FA6" w14:paraId="6E5D13EF" w14:textId="77777777" w:rsidTr="003C0F93">
        <w:trPr>
          <w:trHeight w:val="394"/>
        </w:trPr>
        <w:tc>
          <w:tcPr>
            <w:tcW w:w="1843" w:type="dxa"/>
            <w:vMerge/>
            <w:shd w:val="clear" w:color="auto" w:fill="0047BB"/>
          </w:tcPr>
          <w:p w14:paraId="6B966FA9" w14:textId="77777777" w:rsidR="0021329F" w:rsidRPr="00D7090C" w:rsidRDefault="0021329F" w:rsidP="0067614D">
            <w:pPr>
              <w:spacing w:after="60" w:line="240" w:lineRule="auto"/>
              <w:rPr>
                <w:b/>
                <w:color w:val="FFFFFF" w:themeColor="background1"/>
              </w:rPr>
            </w:pPr>
          </w:p>
        </w:tc>
        <w:tc>
          <w:tcPr>
            <w:tcW w:w="1877" w:type="dxa"/>
            <w:shd w:val="clear" w:color="auto" w:fill="B9D9EB"/>
          </w:tcPr>
          <w:p w14:paraId="0546A94C" w14:textId="58F6FE41" w:rsidR="0021329F" w:rsidRPr="00836EE7" w:rsidRDefault="0021329F" w:rsidP="009E77E3">
            <w:pPr>
              <w:spacing w:after="60" w:line="240" w:lineRule="auto"/>
            </w:pPr>
            <w:r w:rsidRPr="00836EE7">
              <w:t>Address</w:t>
            </w:r>
            <w:r>
              <w:t xml:space="preserve"> of </w:t>
            </w:r>
            <w:r w:rsidR="00D82BC0">
              <w:t>Supplier</w:t>
            </w:r>
          </w:p>
        </w:tc>
        <w:tc>
          <w:tcPr>
            <w:tcW w:w="5244" w:type="dxa"/>
          </w:tcPr>
          <w:p w14:paraId="02D988AD" w14:textId="77777777" w:rsidR="0021329F" w:rsidRPr="00836EE7" w:rsidRDefault="0021329F" w:rsidP="009E77E3">
            <w:pPr>
              <w:spacing w:after="60" w:line="240" w:lineRule="auto"/>
            </w:pPr>
            <w:r w:rsidRPr="00836EE7">
              <w:t>[</w:t>
            </w:r>
            <w:r w:rsidRPr="00836EE7">
              <w:rPr>
                <w:highlight w:val="yellow"/>
              </w:rPr>
              <w:t>insert</w:t>
            </w:r>
            <w:r w:rsidRPr="00836EE7">
              <w:t>]</w:t>
            </w:r>
          </w:p>
        </w:tc>
      </w:tr>
    </w:tbl>
    <w:p w14:paraId="03D2B5C9" w14:textId="77777777" w:rsidR="006D7A17" w:rsidRDefault="006D7A17"/>
    <w:tbl>
      <w:tblPr>
        <w:tblStyle w:val="TableGrid10"/>
        <w:tblW w:w="8964" w:type="dxa"/>
        <w:tblInd w:w="108" w:type="dxa"/>
        <w:tblBorders>
          <w:top w:val="single" w:sz="6" w:space="0" w:color="000000"/>
          <w:bottom w:val="single" w:sz="6" w:space="0" w:color="000000"/>
          <w:insideH w:val="single" w:sz="6" w:space="0" w:color="000000"/>
        </w:tblBorders>
        <w:tblLayout w:type="fixed"/>
        <w:tblLook w:val="04A0" w:firstRow="1" w:lastRow="0" w:firstColumn="1" w:lastColumn="0" w:noHBand="0" w:noVBand="1"/>
      </w:tblPr>
      <w:tblGrid>
        <w:gridCol w:w="1843"/>
        <w:gridCol w:w="1877"/>
        <w:gridCol w:w="5244"/>
      </w:tblGrid>
      <w:tr w:rsidR="00641617" w:rsidRPr="00D55FA6" w14:paraId="61724EAA" w14:textId="77777777" w:rsidTr="003C0F93">
        <w:trPr>
          <w:trHeight w:val="394"/>
        </w:trPr>
        <w:tc>
          <w:tcPr>
            <w:tcW w:w="1843" w:type="dxa"/>
            <w:vMerge w:val="restart"/>
            <w:shd w:val="clear" w:color="auto" w:fill="0047BB"/>
          </w:tcPr>
          <w:p w14:paraId="45949119" w14:textId="103E9EB6" w:rsidR="00641617" w:rsidRPr="00470B03" w:rsidRDefault="00641617" w:rsidP="00F679F9">
            <w:pPr>
              <w:pStyle w:val="ListParagraph"/>
              <w:numPr>
                <w:ilvl w:val="0"/>
                <w:numId w:val="11"/>
              </w:numPr>
              <w:spacing w:after="60"/>
              <w:ind w:left="354" w:hanging="283"/>
              <w:rPr>
                <w:rFonts w:ascii="Arial" w:hAnsi="Arial" w:cs="Arial"/>
                <w:b/>
                <w:color w:val="FFFFFF" w:themeColor="background1"/>
                <w:sz w:val="20"/>
                <w:szCs w:val="20"/>
              </w:rPr>
            </w:pPr>
            <w:bookmarkStart w:id="2" w:name="_Ref421568145"/>
            <w:bookmarkStart w:id="3" w:name="_Ref11496938"/>
            <w:r w:rsidRPr="00470B03">
              <w:rPr>
                <w:rFonts w:ascii="Arial" w:hAnsi="Arial" w:cs="Arial"/>
                <w:b/>
                <w:color w:val="FFFFFF" w:themeColor="background1"/>
                <w:sz w:val="20"/>
                <w:szCs w:val="20"/>
              </w:rPr>
              <w:t>Term</w:t>
            </w:r>
            <w:bookmarkEnd w:id="2"/>
            <w:r w:rsidR="00470B03" w:rsidRPr="00470B03">
              <w:rPr>
                <w:rFonts w:ascii="Arial" w:hAnsi="Arial" w:cs="Arial"/>
                <w:b/>
                <w:color w:val="FFFFFF" w:themeColor="background1"/>
                <w:sz w:val="20"/>
                <w:szCs w:val="20"/>
              </w:rPr>
              <w:t xml:space="preserve"> </w:t>
            </w:r>
            <w:r w:rsidR="00470B03" w:rsidRPr="00470B03">
              <w:rPr>
                <w:rFonts w:ascii="Arial" w:hAnsi="Arial" w:cs="Arial"/>
                <w:color w:val="FFFFFF" w:themeColor="background1"/>
                <w:sz w:val="20"/>
                <w:szCs w:val="20"/>
              </w:rPr>
              <w:t xml:space="preserve">(cl. </w:t>
            </w:r>
            <w:r w:rsidR="00470B03" w:rsidRPr="00470B03">
              <w:rPr>
                <w:rFonts w:ascii="Arial" w:hAnsi="Arial" w:cs="Arial"/>
                <w:color w:val="FFFFFF" w:themeColor="background1"/>
                <w:sz w:val="20"/>
                <w:szCs w:val="20"/>
              </w:rPr>
              <w:fldChar w:fldCharType="begin"/>
            </w:r>
            <w:r w:rsidR="00470B03" w:rsidRPr="00470B03">
              <w:rPr>
                <w:rFonts w:ascii="Arial" w:hAnsi="Arial" w:cs="Arial"/>
                <w:color w:val="FFFFFF" w:themeColor="background1"/>
                <w:sz w:val="20"/>
                <w:szCs w:val="20"/>
              </w:rPr>
              <w:instrText xml:space="preserve"> REF _Ref11493995 \n \h  \* MERGEFORMAT </w:instrText>
            </w:r>
            <w:r w:rsidR="00470B03" w:rsidRPr="00470B03">
              <w:rPr>
                <w:rFonts w:ascii="Arial" w:hAnsi="Arial" w:cs="Arial"/>
                <w:color w:val="FFFFFF" w:themeColor="background1"/>
                <w:sz w:val="20"/>
                <w:szCs w:val="20"/>
              </w:rPr>
            </w:r>
            <w:r w:rsidR="00470B03" w:rsidRPr="00470B03">
              <w:rPr>
                <w:rFonts w:ascii="Arial" w:hAnsi="Arial" w:cs="Arial"/>
                <w:color w:val="FFFFFF" w:themeColor="background1"/>
                <w:sz w:val="20"/>
                <w:szCs w:val="20"/>
              </w:rPr>
              <w:fldChar w:fldCharType="separate"/>
            </w:r>
            <w:r w:rsidR="00082E91">
              <w:rPr>
                <w:rFonts w:ascii="Arial" w:hAnsi="Arial" w:cs="Arial"/>
                <w:color w:val="FFFFFF" w:themeColor="background1"/>
                <w:sz w:val="20"/>
                <w:szCs w:val="20"/>
              </w:rPr>
              <w:t>2.3</w:t>
            </w:r>
            <w:r w:rsidR="00470B03" w:rsidRPr="00470B03">
              <w:rPr>
                <w:rFonts w:ascii="Arial" w:hAnsi="Arial" w:cs="Arial"/>
                <w:color w:val="FFFFFF" w:themeColor="background1"/>
                <w:sz w:val="20"/>
                <w:szCs w:val="20"/>
              </w:rPr>
              <w:fldChar w:fldCharType="end"/>
            </w:r>
            <w:r w:rsidR="00470B03" w:rsidRPr="00470B03">
              <w:rPr>
                <w:rFonts w:ascii="Arial" w:hAnsi="Arial" w:cs="Arial"/>
                <w:color w:val="FFFFFF" w:themeColor="background1"/>
                <w:sz w:val="20"/>
                <w:szCs w:val="20"/>
              </w:rPr>
              <w:t>)</w:t>
            </w:r>
            <w:bookmarkEnd w:id="3"/>
          </w:p>
        </w:tc>
        <w:tc>
          <w:tcPr>
            <w:tcW w:w="1877" w:type="dxa"/>
            <w:shd w:val="clear" w:color="auto" w:fill="B9D9EB"/>
          </w:tcPr>
          <w:p w14:paraId="6F8F44F2" w14:textId="77777777" w:rsidR="00641617" w:rsidRPr="00836EE7" w:rsidRDefault="00641617" w:rsidP="009E77E3">
            <w:pPr>
              <w:spacing w:after="60" w:line="240" w:lineRule="auto"/>
            </w:pPr>
            <w:r w:rsidRPr="00836EE7">
              <w:t>Commencement Date</w:t>
            </w:r>
          </w:p>
        </w:tc>
        <w:tc>
          <w:tcPr>
            <w:tcW w:w="5244" w:type="dxa"/>
          </w:tcPr>
          <w:p w14:paraId="6654E216" w14:textId="77777777" w:rsidR="00641617" w:rsidRPr="00836EE7" w:rsidRDefault="00641617" w:rsidP="009E77E3">
            <w:pPr>
              <w:spacing w:after="60" w:line="240" w:lineRule="auto"/>
            </w:pPr>
            <w:r w:rsidRPr="00836EE7">
              <w:t>[</w:t>
            </w:r>
            <w:r w:rsidRPr="00836EE7">
              <w:rPr>
                <w:highlight w:val="yellow"/>
              </w:rPr>
              <w:t>insert</w:t>
            </w:r>
            <w:r w:rsidRPr="00836EE7">
              <w:t>]</w:t>
            </w:r>
          </w:p>
        </w:tc>
      </w:tr>
      <w:tr w:rsidR="00641617" w:rsidRPr="00D55FA6" w14:paraId="23D29187" w14:textId="77777777" w:rsidTr="003C0F93">
        <w:trPr>
          <w:trHeight w:val="394"/>
        </w:trPr>
        <w:tc>
          <w:tcPr>
            <w:tcW w:w="1843" w:type="dxa"/>
            <w:vMerge/>
            <w:shd w:val="clear" w:color="auto" w:fill="0047BB"/>
          </w:tcPr>
          <w:p w14:paraId="7940C671" w14:textId="77777777" w:rsidR="00641617" w:rsidRPr="00470B03" w:rsidRDefault="00641617" w:rsidP="00470B03">
            <w:pPr>
              <w:spacing w:after="60" w:line="240" w:lineRule="auto"/>
              <w:ind w:left="354" w:hanging="283"/>
              <w:rPr>
                <w:rFonts w:cs="Arial"/>
                <w:b/>
                <w:color w:val="FFFFFF" w:themeColor="background1"/>
              </w:rPr>
            </w:pPr>
            <w:bookmarkStart w:id="4" w:name="_Ref435597033"/>
          </w:p>
        </w:tc>
        <w:bookmarkEnd w:id="4"/>
        <w:tc>
          <w:tcPr>
            <w:tcW w:w="1877" w:type="dxa"/>
            <w:shd w:val="clear" w:color="auto" w:fill="B9D9EB"/>
          </w:tcPr>
          <w:p w14:paraId="4509D277" w14:textId="56AB3A81" w:rsidR="00641617" w:rsidRPr="00836EE7" w:rsidRDefault="00141391" w:rsidP="009E77E3">
            <w:pPr>
              <w:spacing w:after="60" w:line="240" w:lineRule="auto"/>
            </w:pPr>
            <w:r>
              <w:t>Initial T</w:t>
            </w:r>
            <w:r w:rsidR="00641617" w:rsidRPr="00836EE7">
              <w:t>erm</w:t>
            </w:r>
          </w:p>
        </w:tc>
        <w:tc>
          <w:tcPr>
            <w:tcW w:w="5244" w:type="dxa"/>
          </w:tcPr>
          <w:p w14:paraId="24DBEAFC" w14:textId="747B593A" w:rsidR="00641617" w:rsidRPr="00836EE7" w:rsidRDefault="009F7101" w:rsidP="009E77E3">
            <w:pPr>
              <w:spacing w:after="60" w:line="240" w:lineRule="auto"/>
            </w:pPr>
            <w:r>
              <w:t>3</w:t>
            </w:r>
            <w:r w:rsidR="00DB3E7B">
              <w:t xml:space="preserve"> years</w:t>
            </w:r>
            <w:r w:rsidR="00141391">
              <w:t xml:space="preserve"> from the Commencement Date</w:t>
            </w:r>
          </w:p>
        </w:tc>
      </w:tr>
      <w:tr w:rsidR="00641617" w:rsidRPr="00D55FA6" w14:paraId="390DA042" w14:textId="77777777" w:rsidTr="003C0F93">
        <w:trPr>
          <w:trHeight w:val="394"/>
        </w:trPr>
        <w:tc>
          <w:tcPr>
            <w:tcW w:w="1843" w:type="dxa"/>
            <w:vMerge/>
            <w:tcBorders>
              <w:bottom w:val="single" w:sz="6" w:space="0" w:color="000000"/>
            </w:tcBorders>
            <w:shd w:val="clear" w:color="auto" w:fill="0047BB"/>
          </w:tcPr>
          <w:p w14:paraId="6025A28F" w14:textId="77777777" w:rsidR="00641617" w:rsidRPr="00470B03" w:rsidRDefault="00641617" w:rsidP="00470B03">
            <w:pPr>
              <w:spacing w:after="60" w:line="240" w:lineRule="auto"/>
              <w:ind w:left="354" w:hanging="283"/>
              <w:rPr>
                <w:rFonts w:cs="Arial"/>
                <w:b/>
                <w:color w:val="FFFFFF" w:themeColor="background1"/>
              </w:rPr>
            </w:pPr>
          </w:p>
        </w:tc>
        <w:tc>
          <w:tcPr>
            <w:tcW w:w="1877" w:type="dxa"/>
            <w:shd w:val="clear" w:color="auto" w:fill="B9D9EB"/>
          </w:tcPr>
          <w:p w14:paraId="1EDA42D5" w14:textId="6A1C3D34" w:rsidR="00641617" w:rsidRPr="00836EE7" w:rsidRDefault="00641617" w:rsidP="009E77E3">
            <w:pPr>
              <w:spacing w:after="60" w:line="240" w:lineRule="auto"/>
            </w:pPr>
            <w:r w:rsidRPr="00836EE7">
              <w:t xml:space="preserve">Renewal </w:t>
            </w:r>
            <w:r w:rsidR="00436821">
              <w:t>Period</w:t>
            </w:r>
          </w:p>
        </w:tc>
        <w:tc>
          <w:tcPr>
            <w:tcW w:w="5244" w:type="dxa"/>
          </w:tcPr>
          <w:p w14:paraId="3642BB06" w14:textId="1D5D008B" w:rsidR="00102F00" w:rsidRPr="00102F00" w:rsidRDefault="00141391" w:rsidP="009E77E3">
            <w:pPr>
              <w:spacing w:after="60" w:line="240" w:lineRule="auto"/>
            </w:pPr>
            <w:r>
              <w:t xml:space="preserve">2 options of </w:t>
            </w:r>
            <w:r w:rsidR="00E3153A">
              <w:t xml:space="preserve">1 year </w:t>
            </w:r>
            <w:r>
              <w:t xml:space="preserve">each </w:t>
            </w:r>
          </w:p>
        </w:tc>
      </w:tr>
      <w:tr w:rsidR="00641617" w:rsidRPr="00D55FA6" w14:paraId="0EFE5162" w14:textId="77777777" w:rsidTr="003C0F93">
        <w:trPr>
          <w:trHeight w:val="163"/>
        </w:trPr>
        <w:tc>
          <w:tcPr>
            <w:tcW w:w="1843" w:type="dxa"/>
            <w:vMerge w:val="restart"/>
            <w:shd w:val="clear" w:color="auto" w:fill="0047BB"/>
          </w:tcPr>
          <w:p w14:paraId="5AC9DDF7" w14:textId="3B1B024D" w:rsidR="00641617" w:rsidRPr="00470B03" w:rsidRDefault="00641617" w:rsidP="00F679F9">
            <w:pPr>
              <w:pStyle w:val="ListParagraph"/>
              <w:numPr>
                <w:ilvl w:val="0"/>
                <w:numId w:val="11"/>
              </w:numPr>
              <w:spacing w:after="60"/>
              <w:ind w:left="354" w:hanging="283"/>
              <w:rPr>
                <w:rFonts w:ascii="Arial" w:hAnsi="Arial" w:cs="Arial"/>
                <w:b/>
                <w:color w:val="FFFFFF" w:themeColor="background1"/>
                <w:sz w:val="20"/>
                <w:szCs w:val="20"/>
              </w:rPr>
            </w:pPr>
            <w:bookmarkStart w:id="5" w:name="_Ref421652080"/>
            <w:bookmarkStart w:id="6" w:name="_Ref11506757"/>
            <w:r w:rsidRPr="00470B03">
              <w:rPr>
                <w:rFonts w:ascii="Arial" w:hAnsi="Arial" w:cs="Arial"/>
                <w:b/>
                <w:color w:val="FFFFFF" w:themeColor="background1"/>
                <w:sz w:val="20"/>
                <w:szCs w:val="20"/>
              </w:rPr>
              <w:t>Notices</w:t>
            </w:r>
            <w:bookmarkEnd w:id="5"/>
            <w:r w:rsidR="009741FD">
              <w:rPr>
                <w:rFonts w:ascii="Arial" w:hAnsi="Arial" w:cs="Arial"/>
                <w:b/>
                <w:color w:val="FFFFFF" w:themeColor="background1"/>
                <w:sz w:val="20"/>
                <w:szCs w:val="20"/>
              </w:rPr>
              <w:t xml:space="preserve"> </w:t>
            </w:r>
            <w:r w:rsidR="009741FD" w:rsidRPr="009741FD">
              <w:rPr>
                <w:rFonts w:ascii="Arial" w:hAnsi="Arial" w:cs="Arial"/>
                <w:color w:val="FFFFFF" w:themeColor="background1"/>
                <w:sz w:val="20"/>
                <w:szCs w:val="20"/>
              </w:rPr>
              <w:t>(cl.</w:t>
            </w:r>
            <w:r w:rsidR="00102F00">
              <w:rPr>
                <w:rFonts w:ascii="Arial" w:hAnsi="Arial" w:cs="Arial"/>
                <w:color w:val="FFFFFF" w:themeColor="background1"/>
                <w:sz w:val="20"/>
                <w:szCs w:val="20"/>
              </w:rPr>
              <w:fldChar w:fldCharType="begin"/>
            </w:r>
            <w:r w:rsidR="00102F00">
              <w:rPr>
                <w:rFonts w:ascii="Arial" w:hAnsi="Arial" w:cs="Arial"/>
                <w:color w:val="FFFFFF" w:themeColor="background1"/>
                <w:sz w:val="20"/>
                <w:szCs w:val="20"/>
              </w:rPr>
              <w:instrText xml:space="preserve"> REF _Ref25682312 \w \h </w:instrText>
            </w:r>
            <w:r w:rsidR="00102F00">
              <w:rPr>
                <w:rFonts w:ascii="Arial" w:hAnsi="Arial" w:cs="Arial"/>
                <w:color w:val="FFFFFF" w:themeColor="background1"/>
                <w:sz w:val="20"/>
                <w:szCs w:val="20"/>
              </w:rPr>
            </w:r>
            <w:r w:rsidR="00102F00">
              <w:rPr>
                <w:rFonts w:ascii="Arial" w:hAnsi="Arial" w:cs="Arial"/>
                <w:color w:val="FFFFFF" w:themeColor="background1"/>
                <w:sz w:val="20"/>
                <w:szCs w:val="20"/>
              </w:rPr>
              <w:fldChar w:fldCharType="separate"/>
            </w:r>
            <w:r w:rsidR="00102F00">
              <w:rPr>
                <w:rFonts w:ascii="Arial" w:hAnsi="Arial" w:cs="Arial"/>
                <w:color w:val="FFFFFF" w:themeColor="background1"/>
                <w:sz w:val="20"/>
                <w:szCs w:val="20"/>
              </w:rPr>
              <w:t>15.12</w:t>
            </w:r>
            <w:r w:rsidR="00102F00">
              <w:rPr>
                <w:rFonts w:ascii="Arial" w:hAnsi="Arial" w:cs="Arial"/>
                <w:color w:val="FFFFFF" w:themeColor="background1"/>
                <w:sz w:val="20"/>
                <w:szCs w:val="20"/>
              </w:rPr>
              <w:fldChar w:fldCharType="end"/>
            </w:r>
            <w:r w:rsidR="009741FD" w:rsidRPr="009741FD">
              <w:rPr>
                <w:rFonts w:ascii="Arial" w:hAnsi="Arial" w:cs="Arial"/>
                <w:color w:val="FFFFFF" w:themeColor="background1"/>
                <w:sz w:val="20"/>
                <w:szCs w:val="20"/>
              </w:rPr>
              <w:t>)</w:t>
            </w:r>
            <w:bookmarkEnd w:id="6"/>
          </w:p>
        </w:tc>
        <w:tc>
          <w:tcPr>
            <w:tcW w:w="1877" w:type="dxa"/>
            <w:shd w:val="clear" w:color="auto" w:fill="B9D9EB"/>
          </w:tcPr>
          <w:p w14:paraId="0D552C58" w14:textId="5C8BCDA6" w:rsidR="00641617" w:rsidRPr="00836EE7" w:rsidRDefault="002E7CC0" w:rsidP="009E77E3">
            <w:pPr>
              <w:spacing w:after="60" w:line="240" w:lineRule="auto"/>
            </w:pPr>
            <w:proofErr w:type="spellStart"/>
            <w:r>
              <w:t>TfNSW</w:t>
            </w:r>
            <w:proofErr w:type="spellEnd"/>
          </w:p>
        </w:tc>
        <w:tc>
          <w:tcPr>
            <w:tcW w:w="5244" w:type="dxa"/>
          </w:tcPr>
          <w:p w14:paraId="1792D6C1" w14:textId="77777777" w:rsidR="00641617" w:rsidRPr="00836EE7" w:rsidRDefault="00641617" w:rsidP="009E77E3">
            <w:pPr>
              <w:spacing w:after="60"/>
              <w:ind w:left="1168" w:hanging="1168"/>
            </w:pPr>
            <w:r w:rsidRPr="00836EE7">
              <w:t>Attention:</w:t>
            </w:r>
            <w:r w:rsidRPr="00836EE7">
              <w:tab/>
              <w:t>[</w:t>
            </w:r>
            <w:r w:rsidRPr="00836EE7">
              <w:rPr>
                <w:highlight w:val="yellow"/>
              </w:rPr>
              <w:t>Insert</w:t>
            </w:r>
            <w:r w:rsidRPr="00836EE7">
              <w:t>]</w:t>
            </w:r>
          </w:p>
          <w:p w14:paraId="77457916" w14:textId="24DD4E47" w:rsidR="00641617" w:rsidRDefault="00641617" w:rsidP="009E77E3">
            <w:pPr>
              <w:spacing w:after="60"/>
              <w:ind w:left="1168" w:hanging="1168"/>
            </w:pPr>
            <w:r w:rsidRPr="00836EE7">
              <w:t>Address:</w:t>
            </w:r>
            <w:r w:rsidRPr="00836EE7">
              <w:tab/>
            </w:r>
            <w:r w:rsidR="007977C0">
              <w:t>18 Lee Street, Chippendale NSW 2008</w:t>
            </w:r>
          </w:p>
          <w:p w14:paraId="3F432C11" w14:textId="3EAE91F3" w:rsidR="009741FD" w:rsidRPr="00836EE7" w:rsidRDefault="009741FD" w:rsidP="009E77E3">
            <w:pPr>
              <w:spacing w:after="60"/>
              <w:ind w:left="1168" w:hanging="1168"/>
            </w:pPr>
            <w:r>
              <w:t xml:space="preserve">Email address: </w:t>
            </w:r>
            <w:r w:rsidR="00130878" w:rsidRPr="00836EE7">
              <w:tab/>
              <w:t xml:space="preserve"> </w:t>
            </w:r>
            <w:r w:rsidRPr="00836EE7">
              <w:t>[</w:t>
            </w:r>
            <w:r w:rsidRPr="00836EE7">
              <w:rPr>
                <w:highlight w:val="yellow"/>
              </w:rPr>
              <w:t>Insert</w:t>
            </w:r>
            <w:r w:rsidRPr="00836EE7">
              <w:t>]</w:t>
            </w:r>
          </w:p>
        </w:tc>
      </w:tr>
      <w:tr w:rsidR="00641617" w:rsidRPr="00D55FA6" w14:paraId="0EF2EC01" w14:textId="77777777" w:rsidTr="003C0F93">
        <w:trPr>
          <w:trHeight w:val="163"/>
        </w:trPr>
        <w:tc>
          <w:tcPr>
            <w:tcW w:w="1843" w:type="dxa"/>
            <w:vMerge/>
            <w:shd w:val="clear" w:color="auto" w:fill="0047BB"/>
          </w:tcPr>
          <w:p w14:paraId="4D84E1D6" w14:textId="77777777" w:rsidR="00641617" w:rsidRPr="00470B03" w:rsidRDefault="00641617" w:rsidP="00F679F9">
            <w:pPr>
              <w:numPr>
                <w:ilvl w:val="0"/>
                <w:numId w:val="6"/>
              </w:numPr>
              <w:spacing w:after="60" w:line="240" w:lineRule="auto"/>
              <w:ind w:left="354" w:hanging="283"/>
              <w:contextualSpacing/>
              <w:rPr>
                <w:rFonts w:cs="Arial"/>
                <w:b/>
              </w:rPr>
            </w:pPr>
          </w:p>
        </w:tc>
        <w:tc>
          <w:tcPr>
            <w:tcW w:w="1877" w:type="dxa"/>
            <w:shd w:val="clear" w:color="auto" w:fill="B9D9EB"/>
          </w:tcPr>
          <w:p w14:paraId="7DD8A249" w14:textId="1684D896" w:rsidR="00641617" w:rsidRPr="00836EE7" w:rsidRDefault="00D82BC0" w:rsidP="009E77E3">
            <w:pPr>
              <w:spacing w:after="60" w:line="240" w:lineRule="auto"/>
            </w:pPr>
            <w:r>
              <w:t>Supplier</w:t>
            </w:r>
          </w:p>
        </w:tc>
        <w:tc>
          <w:tcPr>
            <w:tcW w:w="5244" w:type="dxa"/>
          </w:tcPr>
          <w:p w14:paraId="7AD6B8A9" w14:textId="77777777" w:rsidR="00641617" w:rsidRPr="00836EE7" w:rsidRDefault="00641617" w:rsidP="009E77E3">
            <w:pPr>
              <w:spacing w:after="60"/>
              <w:ind w:left="1168" w:hanging="1168"/>
            </w:pPr>
            <w:r w:rsidRPr="00836EE7">
              <w:t>Attention:</w:t>
            </w:r>
            <w:r w:rsidRPr="00836EE7">
              <w:tab/>
              <w:t>[</w:t>
            </w:r>
            <w:r w:rsidRPr="00836EE7">
              <w:rPr>
                <w:highlight w:val="yellow"/>
              </w:rPr>
              <w:t>Insert</w:t>
            </w:r>
            <w:r w:rsidRPr="00836EE7">
              <w:t>]</w:t>
            </w:r>
          </w:p>
          <w:p w14:paraId="1A772C33" w14:textId="77777777" w:rsidR="00641617" w:rsidRDefault="00641617" w:rsidP="009E77E3">
            <w:pPr>
              <w:spacing w:after="60"/>
              <w:ind w:left="1168" w:hanging="1168"/>
            </w:pPr>
            <w:r w:rsidRPr="00836EE7">
              <w:t>Address:</w:t>
            </w:r>
            <w:r w:rsidRPr="00836EE7">
              <w:tab/>
              <w:t>[</w:t>
            </w:r>
            <w:r w:rsidRPr="00836EE7">
              <w:rPr>
                <w:highlight w:val="yellow"/>
              </w:rPr>
              <w:t>Insert</w:t>
            </w:r>
            <w:r w:rsidRPr="00836EE7">
              <w:t>]</w:t>
            </w:r>
          </w:p>
          <w:p w14:paraId="68E75D4B" w14:textId="111255C2" w:rsidR="009741FD" w:rsidRPr="00836EE7" w:rsidRDefault="009741FD" w:rsidP="009E77E3">
            <w:pPr>
              <w:spacing w:after="60"/>
              <w:ind w:left="1168" w:hanging="1168"/>
            </w:pPr>
            <w:r>
              <w:t xml:space="preserve">Email address: </w:t>
            </w:r>
            <w:r w:rsidR="00130878" w:rsidRPr="00836EE7">
              <w:tab/>
              <w:t xml:space="preserve"> </w:t>
            </w:r>
            <w:r w:rsidRPr="00836EE7">
              <w:t>[</w:t>
            </w:r>
            <w:r w:rsidRPr="00836EE7">
              <w:rPr>
                <w:highlight w:val="yellow"/>
              </w:rPr>
              <w:t>Insert</w:t>
            </w:r>
            <w:r w:rsidRPr="00836EE7">
              <w:t>]</w:t>
            </w:r>
          </w:p>
        </w:tc>
      </w:tr>
      <w:tr w:rsidR="00D7090C" w:rsidRPr="00D55FA6" w14:paraId="486BDE67" w14:textId="77777777" w:rsidTr="003C0F93">
        <w:trPr>
          <w:trHeight w:val="163"/>
        </w:trPr>
        <w:tc>
          <w:tcPr>
            <w:tcW w:w="1843" w:type="dxa"/>
            <w:shd w:val="clear" w:color="auto" w:fill="0047BB"/>
          </w:tcPr>
          <w:p w14:paraId="1854891B" w14:textId="4643D252" w:rsidR="00D7090C" w:rsidRPr="00470B03" w:rsidRDefault="00470B03" w:rsidP="00F679F9">
            <w:pPr>
              <w:pStyle w:val="ListParagraph"/>
              <w:numPr>
                <w:ilvl w:val="0"/>
                <w:numId w:val="11"/>
              </w:numPr>
              <w:spacing w:after="60"/>
              <w:ind w:left="354" w:hanging="283"/>
              <w:rPr>
                <w:rFonts w:ascii="Arial" w:hAnsi="Arial" w:cs="Arial"/>
                <w:b/>
                <w:sz w:val="20"/>
                <w:szCs w:val="20"/>
              </w:rPr>
            </w:pPr>
            <w:r w:rsidRPr="00470B03">
              <w:rPr>
                <w:rFonts w:ascii="Arial" w:hAnsi="Arial" w:cs="Arial"/>
                <w:b/>
                <w:color w:val="FFFFFF" w:themeColor="background1"/>
                <w:sz w:val="20"/>
                <w:szCs w:val="20"/>
              </w:rPr>
              <w:t xml:space="preserve">Compliance </w:t>
            </w:r>
            <w:r w:rsidRPr="00470B03">
              <w:rPr>
                <w:rFonts w:ascii="Arial" w:hAnsi="Arial" w:cs="Arial"/>
                <w:color w:val="FFFFFF" w:themeColor="background1"/>
                <w:sz w:val="20"/>
                <w:szCs w:val="20"/>
              </w:rPr>
              <w:t xml:space="preserve">(cl. </w:t>
            </w:r>
            <w:r w:rsidRPr="00470B03">
              <w:rPr>
                <w:rFonts w:ascii="Arial" w:hAnsi="Arial" w:cs="Arial"/>
                <w:color w:val="FFFFFF" w:themeColor="background1"/>
                <w:sz w:val="20"/>
                <w:szCs w:val="20"/>
              </w:rPr>
              <w:fldChar w:fldCharType="begin"/>
            </w:r>
            <w:r w:rsidRPr="00470B03">
              <w:rPr>
                <w:rFonts w:ascii="Arial" w:hAnsi="Arial" w:cs="Arial"/>
                <w:color w:val="FFFFFF" w:themeColor="background1"/>
                <w:sz w:val="20"/>
                <w:szCs w:val="20"/>
              </w:rPr>
              <w:instrText xml:space="preserve"> REF _Ref11494011 \w \h  \* MERGEFORMAT </w:instrText>
            </w:r>
            <w:r w:rsidRPr="00470B03">
              <w:rPr>
                <w:rFonts w:ascii="Arial" w:hAnsi="Arial" w:cs="Arial"/>
                <w:color w:val="FFFFFF" w:themeColor="background1"/>
                <w:sz w:val="20"/>
                <w:szCs w:val="20"/>
              </w:rPr>
            </w:r>
            <w:r w:rsidRPr="00470B03">
              <w:rPr>
                <w:rFonts w:ascii="Arial" w:hAnsi="Arial" w:cs="Arial"/>
                <w:color w:val="FFFFFF" w:themeColor="background1"/>
                <w:sz w:val="20"/>
                <w:szCs w:val="20"/>
              </w:rPr>
              <w:fldChar w:fldCharType="separate"/>
            </w:r>
            <w:r w:rsidR="00082E91">
              <w:rPr>
                <w:rFonts w:ascii="Arial" w:hAnsi="Arial" w:cs="Arial"/>
                <w:color w:val="FFFFFF" w:themeColor="background1"/>
                <w:sz w:val="20"/>
                <w:szCs w:val="20"/>
              </w:rPr>
              <w:t>11.1(a)(</w:t>
            </w:r>
            <w:proofErr w:type="spellStart"/>
            <w:r w:rsidR="00082E91">
              <w:rPr>
                <w:rFonts w:ascii="Arial" w:hAnsi="Arial" w:cs="Arial"/>
                <w:color w:val="FFFFFF" w:themeColor="background1"/>
                <w:sz w:val="20"/>
                <w:szCs w:val="20"/>
              </w:rPr>
              <w:t>i</w:t>
            </w:r>
            <w:proofErr w:type="spellEnd"/>
            <w:r w:rsidR="00082E91">
              <w:rPr>
                <w:rFonts w:ascii="Arial" w:hAnsi="Arial" w:cs="Arial"/>
                <w:color w:val="FFFFFF" w:themeColor="background1"/>
                <w:sz w:val="20"/>
                <w:szCs w:val="20"/>
              </w:rPr>
              <w:t>)(G)</w:t>
            </w:r>
            <w:r w:rsidRPr="00470B03">
              <w:rPr>
                <w:rFonts w:ascii="Arial" w:hAnsi="Arial" w:cs="Arial"/>
                <w:color w:val="FFFFFF" w:themeColor="background1"/>
                <w:sz w:val="20"/>
                <w:szCs w:val="20"/>
              </w:rPr>
              <w:fldChar w:fldCharType="end"/>
            </w:r>
            <w:r w:rsidRPr="00470B03">
              <w:rPr>
                <w:rFonts w:ascii="Arial" w:hAnsi="Arial" w:cs="Arial"/>
                <w:color w:val="FFFFFF" w:themeColor="background1"/>
                <w:sz w:val="20"/>
                <w:szCs w:val="20"/>
              </w:rPr>
              <w:t>)</w:t>
            </w:r>
          </w:p>
        </w:tc>
        <w:tc>
          <w:tcPr>
            <w:tcW w:w="1877" w:type="dxa"/>
            <w:shd w:val="clear" w:color="auto" w:fill="B9D9EB"/>
          </w:tcPr>
          <w:p w14:paraId="7E1C80C2" w14:textId="77777777" w:rsidR="00D7090C" w:rsidRPr="00836EE7" w:rsidRDefault="00470B03" w:rsidP="009E77E3">
            <w:pPr>
              <w:spacing w:after="60" w:line="240" w:lineRule="auto"/>
            </w:pPr>
            <w:r>
              <w:t>S</w:t>
            </w:r>
            <w:r w:rsidRPr="00470B03">
              <w:t xml:space="preserve">pecific </w:t>
            </w:r>
            <w:r w:rsidR="00C05C46">
              <w:t>Law</w:t>
            </w:r>
            <w:r w:rsidRPr="00470B03">
              <w:t>s, NSW Government policies, codes, guidelines and standards</w:t>
            </w:r>
          </w:p>
        </w:tc>
        <w:tc>
          <w:tcPr>
            <w:tcW w:w="5244" w:type="dxa"/>
          </w:tcPr>
          <w:p w14:paraId="26849C46" w14:textId="77777777" w:rsidR="00D7090C" w:rsidRPr="00836EE7" w:rsidRDefault="00470B03" w:rsidP="009E77E3">
            <w:pPr>
              <w:spacing w:after="60"/>
              <w:ind w:left="1168" w:hanging="1168"/>
            </w:pPr>
            <w:r w:rsidRPr="00836EE7">
              <w:t>[</w:t>
            </w:r>
            <w:r w:rsidRPr="00836EE7">
              <w:rPr>
                <w:highlight w:val="yellow"/>
              </w:rPr>
              <w:t>insert</w:t>
            </w:r>
            <w:r w:rsidRPr="00836EE7">
              <w:t>]</w:t>
            </w:r>
          </w:p>
        </w:tc>
      </w:tr>
    </w:tbl>
    <w:p w14:paraId="6D3FFF5D" w14:textId="77777777" w:rsidR="00113597" w:rsidRDefault="00113597" w:rsidP="00965C2F">
      <w:pPr>
        <w:pStyle w:val="DeedParties"/>
        <w:numPr>
          <w:ilvl w:val="0"/>
          <w:numId w:val="0"/>
        </w:numPr>
        <w:spacing w:line="240" w:lineRule="auto"/>
        <w:ind w:left="142"/>
      </w:pPr>
    </w:p>
    <w:p w14:paraId="477BDACC" w14:textId="66606ABE" w:rsidR="00442A17" w:rsidRDefault="00442A17" w:rsidP="00442A17">
      <w:pPr>
        <w:pStyle w:val="Heading1NoNumber"/>
        <w:ind w:firstLine="0"/>
      </w:pPr>
      <w:bookmarkStart w:id="7" w:name="_Hlk11499103"/>
      <w:bookmarkStart w:id="8" w:name="_Hlk10288987"/>
      <w:r>
        <w:lastRenderedPageBreak/>
        <w:t>Head Agreement Terms</w:t>
      </w:r>
    </w:p>
    <w:p w14:paraId="743606F8" w14:textId="7E3505F8" w:rsidR="00442A17" w:rsidRDefault="00442A17" w:rsidP="00F679F9">
      <w:pPr>
        <w:pStyle w:val="BodyText"/>
        <w:numPr>
          <w:ilvl w:val="0"/>
          <w:numId w:val="8"/>
        </w:numPr>
        <w:spacing w:before="240"/>
        <w:ind w:left="1276" w:hanging="567"/>
      </w:pPr>
      <w:r>
        <w:t>The NSW Procurement Board (</w:t>
      </w:r>
      <w:r>
        <w:rPr>
          <w:b/>
        </w:rPr>
        <w:t>the Board</w:t>
      </w:r>
      <w:r>
        <w:t xml:space="preserve">) is established under section 164 of the </w:t>
      </w:r>
      <w:r>
        <w:rPr>
          <w:i/>
        </w:rPr>
        <w:t xml:space="preserve">Public Works and Procurement Act 1912 </w:t>
      </w:r>
      <w:r>
        <w:t>(NSW) (</w:t>
      </w:r>
      <w:r>
        <w:rPr>
          <w:b/>
        </w:rPr>
        <w:t>PWP Act</w:t>
      </w:r>
      <w:r>
        <w:t xml:space="preserve">). The Board may, pursuant to section 174(1) of the PWP Act, establish a scheme under which a Government Agency accredited by the Board may procure goods and services for that agency or for other Government Agencies, subject to any terms and conditions of its accreditation. </w:t>
      </w:r>
    </w:p>
    <w:p w14:paraId="0A640258" w14:textId="4273DDE0" w:rsidR="00442A17" w:rsidRDefault="00442A17" w:rsidP="00F679F9">
      <w:pPr>
        <w:pStyle w:val="BodyText"/>
        <w:numPr>
          <w:ilvl w:val="0"/>
          <w:numId w:val="8"/>
        </w:numPr>
        <w:spacing w:before="240"/>
        <w:ind w:left="1276" w:hanging="567"/>
      </w:pPr>
      <w:proofErr w:type="spellStart"/>
      <w:r>
        <w:t>TfNSW</w:t>
      </w:r>
      <w:proofErr w:type="spellEnd"/>
      <w:r>
        <w:t xml:space="preserve"> holds level 2 accreditation under the Accreditation Program for Goods and Services Procurement and is accredited to establish and manage whole-of-government contracts. </w:t>
      </w:r>
    </w:p>
    <w:p w14:paraId="4A300CEF" w14:textId="5864D093" w:rsidR="00FB5646" w:rsidRDefault="00442A17" w:rsidP="00F679F9">
      <w:pPr>
        <w:pStyle w:val="BodyText"/>
        <w:numPr>
          <w:ilvl w:val="0"/>
          <w:numId w:val="8"/>
        </w:numPr>
        <w:spacing w:before="240"/>
        <w:ind w:left="1276" w:hanging="567"/>
      </w:pPr>
      <w:proofErr w:type="spellStart"/>
      <w:r>
        <w:t>TfNSW</w:t>
      </w:r>
      <w:proofErr w:type="spellEnd"/>
      <w:r>
        <w:t xml:space="preserve"> </w:t>
      </w:r>
      <w:r w:rsidR="002E7CC0">
        <w:t xml:space="preserve">has established, </w:t>
      </w:r>
      <w:r w:rsidR="00FB5646">
        <w:t xml:space="preserve">the </w:t>
      </w:r>
      <w:r w:rsidR="00DE5082">
        <w:t xml:space="preserve">Digital Engineering Services </w:t>
      </w:r>
      <w:r w:rsidR="002E7CC0">
        <w:t>Prequalification</w:t>
      </w:r>
      <w:r w:rsidR="00DE5082">
        <w:t xml:space="preserve"> Scheme</w:t>
      </w:r>
      <w:r>
        <w:t xml:space="preserve"> (the</w:t>
      </w:r>
      <w:r>
        <w:rPr>
          <w:b/>
        </w:rPr>
        <w:t xml:space="preserve"> Scheme</w:t>
      </w:r>
      <w:r>
        <w:t>) for the whole of government procurement of Digital Engineering Services</w:t>
      </w:r>
      <w:r w:rsidR="00FB5646">
        <w:t>.</w:t>
      </w:r>
    </w:p>
    <w:p w14:paraId="306D1487" w14:textId="19502E10" w:rsidR="00FB5646" w:rsidRDefault="00FB5646" w:rsidP="00F679F9">
      <w:pPr>
        <w:pStyle w:val="BodyText"/>
        <w:numPr>
          <w:ilvl w:val="0"/>
          <w:numId w:val="8"/>
        </w:numPr>
        <w:spacing w:before="240"/>
        <w:ind w:left="1276" w:hanging="567"/>
      </w:pPr>
      <w:r>
        <w:t xml:space="preserve">The </w:t>
      </w:r>
      <w:r w:rsidR="00DE5082">
        <w:t>Scheme</w:t>
      </w:r>
      <w:r>
        <w:t xml:space="preserve"> sets out a framework under which suppliers may supply </w:t>
      </w:r>
      <w:r w:rsidR="002E7CC0">
        <w:t>Digital Engineering S</w:t>
      </w:r>
      <w:r>
        <w:t xml:space="preserve">ervices to </w:t>
      </w:r>
      <w:r w:rsidR="004202A4">
        <w:t>Eligible Customer</w:t>
      </w:r>
      <w:r>
        <w:t xml:space="preserve">s.  </w:t>
      </w:r>
    </w:p>
    <w:p w14:paraId="63B94181" w14:textId="119022EC" w:rsidR="00FB5646" w:rsidRDefault="00FB5646" w:rsidP="00F679F9">
      <w:pPr>
        <w:pStyle w:val="BodyText"/>
        <w:numPr>
          <w:ilvl w:val="0"/>
          <w:numId w:val="8"/>
        </w:numPr>
        <w:spacing w:before="240"/>
        <w:ind w:left="1276" w:hanging="567"/>
      </w:pPr>
      <w:r>
        <w:t xml:space="preserve">The </w:t>
      </w:r>
      <w:r w:rsidR="00D82BC0">
        <w:t>Supplier</w:t>
      </w:r>
      <w:r>
        <w:t xml:space="preserve"> is a suppli</w:t>
      </w:r>
      <w:r w:rsidR="003C0F93">
        <w:t xml:space="preserve">er of </w:t>
      </w:r>
      <w:r w:rsidR="00442A17">
        <w:t xml:space="preserve">Digital Engineering </w:t>
      </w:r>
      <w:r w:rsidR="003C0F93">
        <w:t>Services</w:t>
      </w:r>
      <w:r>
        <w:t xml:space="preserve"> and has represented to </w:t>
      </w:r>
      <w:proofErr w:type="spellStart"/>
      <w:r w:rsidR="002E7CC0">
        <w:t>TfNSW</w:t>
      </w:r>
      <w:proofErr w:type="spellEnd"/>
      <w:r>
        <w:t xml:space="preserve"> that it is capable of supplying </w:t>
      </w:r>
      <w:r w:rsidR="00442A17">
        <w:t>certain</w:t>
      </w:r>
      <w:r>
        <w:t xml:space="preserve"> </w:t>
      </w:r>
      <w:r w:rsidR="002E7CC0">
        <w:t xml:space="preserve">Digital Engineering </w:t>
      </w:r>
      <w:r>
        <w:t xml:space="preserve">Services to </w:t>
      </w:r>
      <w:r w:rsidR="004202A4">
        <w:t>Eligible Customer</w:t>
      </w:r>
      <w:r>
        <w:t xml:space="preserve">s. </w:t>
      </w:r>
    </w:p>
    <w:p w14:paraId="5D6EDBF6" w14:textId="619868A0" w:rsidR="00771B04" w:rsidRDefault="00771B04" w:rsidP="00F679F9">
      <w:pPr>
        <w:pStyle w:val="BodyText"/>
        <w:numPr>
          <w:ilvl w:val="0"/>
          <w:numId w:val="8"/>
        </w:numPr>
        <w:spacing w:before="240"/>
        <w:ind w:left="1276" w:hanging="567"/>
      </w:pPr>
      <w:r>
        <w:t xml:space="preserve">The </w:t>
      </w:r>
      <w:r w:rsidR="00D82BC0">
        <w:t>Supplier</w:t>
      </w:r>
      <w:r>
        <w:t xml:space="preserve"> has been </w:t>
      </w:r>
      <w:r w:rsidR="002E7CC0">
        <w:t>prequalified</w:t>
      </w:r>
      <w:r>
        <w:t xml:space="preserve"> </w:t>
      </w:r>
      <w:r w:rsidR="00141391">
        <w:t xml:space="preserve">by </w:t>
      </w:r>
      <w:proofErr w:type="spellStart"/>
      <w:r w:rsidR="00141391">
        <w:t>TfNSW</w:t>
      </w:r>
      <w:proofErr w:type="spellEnd"/>
      <w:r w:rsidR="00141391">
        <w:t xml:space="preserve"> </w:t>
      </w:r>
      <w:r>
        <w:t xml:space="preserve">to provide </w:t>
      </w:r>
      <w:r w:rsidR="001E2709">
        <w:t xml:space="preserve">the </w:t>
      </w:r>
      <w:r w:rsidR="00141391">
        <w:t xml:space="preserve">Approved </w:t>
      </w:r>
      <w:r w:rsidR="002E7CC0">
        <w:t>Digital Engineering Service</w:t>
      </w:r>
      <w:r>
        <w:t>s</w:t>
      </w:r>
      <w:r w:rsidR="00207089">
        <w:t xml:space="preserve"> under the Scheme</w:t>
      </w:r>
      <w:r w:rsidR="00442A17">
        <w:t>.</w:t>
      </w:r>
    </w:p>
    <w:p w14:paraId="5512D01F" w14:textId="4A672B0D" w:rsidR="00FB5646" w:rsidRPr="00FB5646" w:rsidRDefault="00C021BD" w:rsidP="00F679F9">
      <w:pPr>
        <w:pStyle w:val="BodyText"/>
        <w:numPr>
          <w:ilvl w:val="0"/>
          <w:numId w:val="8"/>
        </w:numPr>
        <w:spacing w:before="240"/>
        <w:ind w:left="1276" w:hanging="567"/>
        <w:rPr>
          <w:rFonts w:ascii="Arial Black" w:hAnsi="Arial Black"/>
        </w:rPr>
      </w:pPr>
      <w:proofErr w:type="spellStart"/>
      <w:r>
        <w:t>TfNSW</w:t>
      </w:r>
      <w:proofErr w:type="spellEnd"/>
      <w:r>
        <w:t xml:space="preserve"> and the Supplier have agreed to enter into this Head Agreement under the Scheme, so that Eligible Customers may procure Approved Digital Engineering Services from the Supplier under individual Customer Contracts</w:t>
      </w:r>
      <w:r w:rsidR="00141391">
        <w:t>.</w:t>
      </w:r>
    </w:p>
    <w:p w14:paraId="4DC7226F" w14:textId="05A144BA" w:rsidR="00304968" w:rsidRPr="007871CB" w:rsidRDefault="00304968" w:rsidP="00282424">
      <w:pPr>
        <w:pStyle w:val="Heading9"/>
        <w:tabs>
          <w:tab w:val="clear" w:pos="567"/>
          <w:tab w:val="num" w:pos="0"/>
        </w:tabs>
        <w:ind w:left="0" w:firstLine="0"/>
      </w:pPr>
      <w:bookmarkStart w:id="9" w:name="_Toc15419219"/>
      <w:bookmarkEnd w:id="7"/>
      <w:r w:rsidRPr="007871CB">
        <w:t xml:space="preserve">Relationship between the </w:t>
      </w:r>
      <w:r w:rsidR="00D82BC0">
        <w:t>Supplier</w:t>
      </w:r>
      <w:r w:rsidRPr="007871CB">
        <w:t xml:space="preserve"> and </w:t>
      </w:r>
      <w:proofErr w:type="spellStart"/>
      <w:r w:rsidR="002E7CC0">
        <w:t>TfNSW</w:t>
      </w:r>
      <w:bookmarkEnd w:id="9"/>
      <w:proofErr w:type="spellEnd"/>
    </w:p>
    <w:p w14:paraId="6B80C8C0" w14:textId="77777777" w:rsidR="007871CB" w:rsidRDefault="007871CB" w:rsidP="00F679F9">
      <w:pPr>
        <w:pStyle w:val="Heading1"/>
        <w:numPr>
          <w:ilvl w:val="0"/>
          <w:numId w:val="9"/>
        </w:numPr>
      </w:pPr>
      <w:bookmarkStart w:id="10" w:name="_Toc87240923"/>
      <w:bookmarkStart w:id="11" w:name="_Toc125537550"/>
      <w:bookmarkStart w:id="12" w:name="_Ref11487980"/>
      <w:bookmarkStart w:id="13" w:name="_Toc15419220"/>
      <w:bookmarkStart w:id="14" w:name="_Ref19800802"/>
      <w:bookmarkStart w:id="15" w:name="txtDictionary"/>
      <w:bookmarkEnd w:id="8"/>
      <w:r>
        <w:t>Defined terms and</w:t>
      </w:r>
      <w:r w:rsidR="00456403">
        <w:t xml:space="preserve"> </w:t>
      </w:r>
      <w:r w:rsidR="00F9493A">
        <w:t>interpretation</w:t>
      </w:r>
      <w:bookmarkEnd w:id="10"/>
      <w:bookmarkEnd w:id="11"/>
      <w:bookmarkEnd w:id="12"/>
      <w:bookmarkEnd w:id="13"/>
      <w:bookmarkEnd w:id="14"/>
      <w:r w:rsidR="00456403" w:rsidRPr="00456403">
        <w:t xml:space="preserve"> </w:t>
      </w:r>
      <w:bookmarkStart w:id="16" w:name="_Toc125537551"/>
    </w:p>
    <w:p w14:paraId="46A25214" w14:textId="77777777" w:rsidR="00342D3D" w:rsidRDefault="00F9493A" w:rsidP="00D0259E">
      <w:pPr>
        <w:pStyle w:val="Heading2"/>
      </w:pPr>
      <w:bookmarkStart w:id="17" w:name="_Toc15419221"/>
      <w:r>
        <w:t>Definitions in the Dictionary</w:t>
      </w:r>
      <w:bookmarkEnd w:id="16"/>
      <w:bookmarkEnd w:id="17"/>
    </w:p>
    <w:p w14:paraId="5C33AB7F" w14:textId="108C07D8" w:rsidR="00342D3D" w:rsidRDefault="00F9493A" w:rsidP="00CF042A">
      <w:pPr>
        <w:pStyle w:val="BodyText"/>
      </w:pPr>
      <w:r>
        <w:t>A term or expression</w:t>
      </w:r>
      <w:r w:rsidR="00CF042A">
        <w:t xml:space="preserve"> starting with a capital letter </w:t>
      </w:r>
      <w:r>
        <w:t>which is defined in the Dictionary in Schedule 1 (</w:t>
      </w:r>
      <w:r>
        <w:rPr>
          <w:b/>
        </w:rPr>
        <w:t>Dictionary</w:t>
      </w:r>
      <w:r w:rsidR="00442A17">
        <w:rPr>
          <w:b/>
        </w:rPr>
        <w:t xml:space="preserve"> and Interpretation</w:t>
      </w:r>
      <w:r>
        <w:t>), has the meanin</w:t>
      </w:r>
      <w:r w:rsidR="00CF042A">
        <w:t>g given to it in the Dictionary.</w:t>
      </w:r>
    </w:p>
    <w:p w14:paraId="454705FF" w14:textId="77777777" w:rsidR="00342D3D" w:rsidRDefault="00F9493A" w:rsidP="00D0259E">
      <w:pPr>
        <w:pStyle w:val="Heading2"/>
      </w:pPr>
      <w:bookmarkStart w:id="18" w:name="_Toc116998513"/>
      <w:bookmarkStart w:id="19" w:name="_Toc120594093"/>
      <w:bookmarkStart w:id="20" w:name="_Toc125537553"/>
      <w:bookmarkStart w:id="21" w:name="_Toc125537552"/>
      <w:bookmarkStart w:id="22" w:name="_Toc15419222"/>
      <w:bookmarkEnd w:id="15"/>
      <w:bookmarkEnd w:id="18"/>
      <w:bookmarkEnd w:id="19"/>
      <w:bookmarkEnd w:id="20"/>
      <w:r>
        <w:t>Interpretation</w:t>
      </w:r>
      <w:bookmarkEnd w:id="21"/>
      <w:bookmarkEnd w:id="22"/>
    </w:p>
    <w:p w14:paraId="50BDDFD4" w14:textId="6AF9CA28" w:rsidR="00342D3D" w:rsidRDefault="00F9493A" w:rsidP="00CF042A">
      <w:pPr>
        <w:pStyle w:val="BodyText"/>
      </w:pPr>
      <w:r>
        <w:t>The interpretation clause in Schedule 1 (</w:t>
      </w:r>
      <w:r>
        <w:rPr>
          <w:b/>
        </w:rPr>
        <w:t>Dictionary</w:t>
      </w:r>
      <w:r w:rsidR="00442A17">
        <w:rPr>
          <w:b/>
        </w:rPr>
        <w:t xml:space="preserve"> and Interpretation</w:t>
      </w:r>
      <w:r>
        <w:t xml:space="preserve">) sets out rules of interpretation for this </w:t>
      </w:r>
      <w:r w:rsidR="0062242B">
        <w:t>Head Agreement</w:t>
      </w:r>
      <w:r>
        <w:t>.</w:t>
      </w:r>
    </w:p>
    <w:p w14:paraId="1F4099D7" w14:textId="77777777" w:rsidR="0043404C" w:rsidRDefault="007871CB" w:rsidP="00D0259E">
      <w:pPr>
        <w:pStyle w:val="Heading1"/>
      </w:pPr>
      <w:bookmarkStart w:id="23" w:name="txtFirstHeading"/>
      <w:bookmarkStart w:id="24" w:name="_Toc15419223"/>
      <w:bookmarkEnd w:id="23"/>
      <w:r>
        <w:t>About this Head Agreement</w:t>
      </w:r>
      <w:bookmarkEnd w:id="24"/>
    </w:p>
    <w:p w14:paraId="0C5A8E12" w14:textId="77777777" w:rsidR="0043404C" w:rsidRDefault="00B0470B" w:rsidP="00D0259E">
      <w:pPr>
        <w:pStyle w:val="Heading2"/>
      </w:pPr>
      <w:bookmarkStart w:id="25" w:name="_Toc15419224"/>
      <w:r>
        <w:t>Overview</w:t>
      </w:r>
      <w:bookmarkEnd w:id="25"/>
    </w:p>
    <w:p w14:paraId="09090E87" w14:textId="77777777" w:rsidR="0043404C" w:rsidRDefault="0043404C" w:rsidP="00442A17">
      <w:pPr>
        <w:pStyle w:val="Heading3"/>
      </w:pPr>
      <w:r>
        <w:t xml:space="preserve">This </w:t>
      </w:r>
      <w:r w:rsidR="007871CB">
        <w:t>Head Agreement</w:t>
      </w:r>
      <w:r>
        <w:t xml:space="preserve"> comprises the following documents:</w:t>
      </w:r>
    </w:p>
    <w:p w14:paraId="3B7EF72F" w14:textId="1BEBEAE5" w:rsidR="007871CB" w:rsidRDefault="00915FC8" w:rsidP="00442A17">
      <w:pPr>
        <w:pStyle w:val="Heading4"/>
      </w:pPr>
      <w:proofErr w:type="gramStart"/>
      <w:r>
        <w:t>these</w:t>
      </w:r>
      <w:proofErr w:type="gramEnd"/>
      <w:r>
        <w:t xml:space="preserve"> </w:t>
      </w:r>
      <w:r w:rsidR="007871CB">
        <w:t>Head Agreement</w:t>
      </w:r>
      <w:r>
        <w:t xml:space="preserve"> Terms</w:t>
      </w:r>
      <w:r w:rsidR="007871CB">
        <w:t xml:space="preserve">; </w:t>
      </w:r>
    </w:p>
    <w:p w14:paraId="37E02788" w14:textId="77777777" w:rsidR="00442A17" w:rsidRDefault="007871CB" w:rsidP="00442A17">
      <w:pPr>
        <w:pStyle w:val="Heading4"/>
      </w:pPr>
      <w:proofErr w:type="gramStart"/>
      <w:r>
        <w:t>the</w:t>
      </w:r>
      <w:proofErr w:type="gramEnd"/>
      <w:r>
        <w:t xml:space="preserve"> Head Agreement Details</w:t>
      </w:r>
      <w:r w:rsidR="00442A17">
        <w:t>;</w:t>
      </w:r>
    </w:p>
    <w:p w14:paraId="5994BF9D" w14:textId="17E58D28" w:rsidR="00442A17" w:rsidRDefault="00442A17" w:rsidP="00442A17">
      <w:pPr>
        <w:pStyle w:val="Heading4"/>
      </w:pPr>
      <w:proofErr w:type="gramStart"/>
      <w:r>
        <w:t>the</w:t>
      </w:r>
      <w:proofErr w:type="gramEnd"/>
      <w:r>
        <w:t xml:space="preserve"> Schedules to this Head Agreement;</w:t>
      </w:r>
      <w:r w:rsidR="00130878">
        <w:t xml:space="preserve"> and</w:t>
      </w:r>
    </w:p>
    <w:p w14:paraId="10DD8B03" w14:textId="5A3973E6" w:rsidR="00634EAB" w:rsidRDefault="00442A17" w:rsidP="00442A17">
      <w:pPr>
        <w:pStyle w:val="Heading4"/>
      </w:pPr>
      <w:proofErr w:type="gramStart"/>
      <w:r>
        <w:lastRenderedPageBreak/>
        <w:t>any</w:t>
      </w:r>
      <w:proofErr w:type="gramEnd"/>
      <w:r>
        <w:t xml:space="preserve"> document that is attached to or referenced in the Schedules to this Head Agreement</w:t>
      </w:r>
      <w:r w:rsidR="007871CB">
        <w:t>.</w:t>
      </w:r>
    </w:p>
    <w:p w14:paraId="69201253" w14:textId="43B2C87D" w:rsidR="00442A17" w:rsidRDefault="00442A17" w:rsidP="00442A17">
      <w:pPr>
        <w:pStyle w:val="Heading3"/>
      </w:pPr>
      <w:r>
        <w:t>To the extent that there is any conflict between any of the documents that comprise this Head Agreement, the conflict will be resolved by giving priority to the documents in the order which they appear in paragraph (a) (with an item higher in the list having priority over a lower item to the extent of the inconsistency).</w:t>
      </w:r>
    </w:p>
    <w:p w14:paraId="1E2AA9C4" w14:textId="77777777" w:rsidR="007F499A" w:rsidRDefault="007F499A" w:rsidP="00D0259E">
      <w:pPr>
        <w:pStyle w:val="Heading2"/>
      </w:pPr>
      <w:bookmarkStart w:id="26" w:name="_Toc15419225"/>
      <w:r>
        <w:t>Purpose of this Head Agreement</w:t>
      </w:r>
      <w:bookmarkEnd w:id="26"/>
    </w:p>
    <w:p w14:paraId="7D79F473" w14:textId="77777777" w:rsidR="00442A17" w:rsidRDefault="007F499A" w:rsidP="00D0259E">
      <w:pPr>
        <w:pStyle w:val="BodyText"/>
      </w:pPr>
      <w:r w:rsidRPr="007F499A">
        <w:t>This Head Agreement</w:t>
      </w:r>
      <w:r w:rsidR="00442A17">
        <w:t>:</w:t>
      </w:r>
    </w:p>
    <w:p w14:paraId="0AD8EE55" w14:textId="7F61945F" w:rsidR="00442A17" w:rsidRDefault="00442A17" w:rsidP="00442A17">
      <w:pPr>
        <w:pStyle w:val="Heading3"/>
      </w:pPr>
      <w:proofErr w:type="gramStart"/>
      <w:r>
        <w:t>describes</w:t>
      </w:r>
      <w:proofErr w:type="gramEnd"/>
      <w:r>
        <w:t xml:space="preserve"> the relationship between </w:t>
      </w:r>
      <w:proofErr w:type="spellStart"/>
      <w:r>
        <w:t>TfNSW</w:t>
      </w:r>
      <w:proofErr w:type="spellEnd"/>
      <w:r>
        <w:t xml:space="preserve"> and the </w:t>
      </w:r>
      <w:r w:rsidR="00D82BC0">
        <w:t>Supplier</w:t>
      </w:r>
      <w:r>
        <w:t xml:space="preserve"> in relation to the </w:t>
      </w:r>
      <w:r w:rsidR="00D82BC0">
        <w:t>Supplier</w:t>
      </w:r>
      <w:r>
        <w:t>’s participation in the Scheme; and</w:t>
      </w:r>
    </w:p>
    <w:p w14:paraId="65BF761A" w14:textId="3905F9F4" w:rsidR="007F499A" w:rsidRPr="00B0470B" w:rsidRDefault="007F499A" w:rsidP="00442A17">
      <w:pPr>
        <w:pStyle w:val="Heading3"/>
      </w:pPr>
      <w:proofErr w:type="gramStart"/>
      <w:r w:rsidRPr="007F499A">
        <w:t>is</w:t>
      </w:r>
      <w:proofErr w:type="gramEnd"/>
      <w:r w:rsidRPr="007F499A">
        <w:t xml:space="preserve"> a standing offer from the </w:t>
      </w:r>
      <w:r w:rsidR="00D82BC0">
        <w:t>Supplier</w:t>
      </w:r>
      <w:r w:rsidRPr="007F499A">
        <w:t xml:space="preserve">, under which </w:t>
      </w:r>
      <w:r w:rsidR="004202A4">
        <w:t>Eligible Customer</w:t>
      </w:r>
      <w:r w:rsidR="003C29B3">
        <w:t>s</w:t>
      </w:r>
      <w:r w:rsidRPr="007F499A">
        <w:t xml:space="preserve"> may enter into </w:t>
      </w:r>
      <w:r w:rsidR="004202A4">
        <w:t xml:space="preserve">a </w:t>
      </w:r>
      <w:r w:rsidRPr="007F499A">
        <w:t>Customer Contract</w:t>
      </w:r>
      <w:r w:rsidR="004202A4">
        <w:t xml:space="preserve">. Once a Customer </w:t>
      </w:r>
      <w:r w:rsidR="00691F18">
        <w:t>Contract</w:t>
      </w:r>
      <w:r w:rsidR="004202A4">
        <w:t xml:space="preserve"> has been entered into by an Eligible Customer, the Eligible Customer may enter into </w:t>
      </w:r>
      <w:r w:rsidR="00DE02ED">
        <w:t>Order</w:t>
      </w:r>
      <w:r w:rsidRPr="007F499A">
        <w:t xml:space="preserve">s </w:t>
      </w:r>
      <w:r w:rsidR="004202A4">
        <w:t xml:space="preserve">under that Customer Contract </w:t>
      </w:r>
      <w:r w:rsidRPr="007F499A">
        <w:t xml:space="preserve">to purchase </w:t>
      </w:r>
      <w:r w:rsidR="001E2709">
        <w:t>Approved</w:t>
      </w:r>
      <w:r w:rsidR="001E2709" w:rsidRPr="007F499A">
        <w:t xml:space="preserve"> </w:t>
      </w:r>
      <w:r w:rsidR="002E7CC0">
        <w:t>Digital Engineering Service</w:t>
      </w:r>
      <w:r w:rsidRPr="007F499A">
        <w:t>s</w:t>
      </w:r>
      <w:bookmarkStart w:id="27" w:name="_Hlk10289196"/>
      <w:r w:rsidRPr="007F499A">
        <w:t>.</w:t>
      </w:r>
      <w:r>
        <w:t xml:space="preserve">  </w:t>
      </w:r>
      <w:bookmarkEnd w:id="27"/>
    </w:p>
    <w:p w14:paraId="7D22C298" w14:textId="77777777" w:rsidR="00634EAB" w:rsidRDefault="00634EAB" w:rsidP="00D0259E">
      <w:pPr>
        <w:pStyle w:val="Heading2"/>
      </w:pPr>
      <w:bookmarkStart w:id="28" w:name="_Ref11493995"/>
      <w:bookmarkStart w:id="29" w:name="_Toc15419226"/>
      <w:r>
        <w:t>Term</w:t>
      </w:r>
      <w:bookmarkEnd w:id="28"/>
      <w:bookmarkEnd w:id="29"/>
    </w:p>
    <w:p w14:paraId="39904ACA" w14:textId="55146D53" w:rsidR="00033534" w:rsidRDefault="00634EAB" w:rsidP="00D0259E">
      <w:pPr>
        <w:pStyle w:val="Heading3"/>
      </w:pPr>
      <w:r>
        <w:t>This</w:t>
      </w:r>
      <w:r w:rsidRPr="00634EAB">
        <w:t xml:space="preserve"> </w:t>
      </w:r>
      <w:r w:rsidR="00BD213F">
        <w:t>Head</w:t>
      </w:r>
      <w:r w:rsidRPr="00634EAB">
        <w:t xml:space="preserve"> Agreement commences on</w:t>
      </w:r>
      <w:r w:rsidR="00033534">
        <w:t xml:space="preserve"> the Commencement Date </w:t>
      </w:r>
      <w:r>
        <w:t>and</w:t>
      </w:r>
      <w:r w:rsidR="00033534">
        <w:t xml:space="preserve"> will continue</w:t>
      </w:r>
      <w:r w:rsidR="001825DB">
        <w:t xml:space="preserve"> </w:t>
      </w:r>
      <w:r w:rsidR="00141391">
        <w:t xml:space="preserve">for </w:t>
      </w:r>
      <w:r w:rsidR="001825DB">
        <w:t xml:space="preserve">the </w:t>
      </w:r>
      <w:r w:rsidR="00141391">
        <w:t xml:space="preserve">Initial </w:t>
      </w:r>
      <w:r w:rsidR="001825DB">
        <w:t xml:space="preserve">Term, unless </w:t>
      </w:r>
      <w:r w:rsidR="004202A4">
        <w:t xml:space="preserve">extended by </w:t>
      </w:r>
      <w:proofErr w:type="spellStart"/>
      <w:r w:rsidR="004202A4">
        <w:t>TfNSW</w:t>
      </w:r>
      <w:proofErr w:type="spellEnd"/>
      <w:r w:rsidR="004202A4">
        <w:t xml:space="preserve"> under paragraph (b) or </w:t>
      </w:r>
      <w:r w:rsidR="001825DB">
        <w:t xml:space="preserve">terminated earlier in accordance with </w:t>
      </w:r>
      <w:r w:rsidR="007F499A">
        <w:t>these</w:t>
      </w:r>
      <w:r w:rsidR="007871CB">
        <w:t xml:space="preserve"> Head Agreement</w:t>
      </w:r>
      <w:r w:rsidR="001825DB">
        <w:t xml:space="preserve"> Terms.  </w:t>
      </w:r>
    </w:p>
    <w:p w14:paraId="6F91EDBD" w14:textId="2E5E588B" w:rsidR="00634EAB" w:rsidRDefault="002E7CC0" w:rsidP="00D0259E">
      <w:pPr>
        <w:pStyle w:val="Heading3"/>
      </w:pPr>
      <w:bookmarkStart w:id="30" w:name="_Ref8724413"/>
      <w:proofErr w:type="spellStart"/>
      <w:r>
        <w:t>TfNSW</w:t>
      </w:r>
      <w:proofErr w:type="spellEnd"/>
      <w:r w:rsidR="00634EAB" w:rsidRPr="00634EAB">
        <w:t xml:space="preserve"> </w:t>
      </w:r>
      <w:r w:rsidR="00634EAB">
        <w:t>may</w:t>
      </w:r>
      <w:r w:rsidR="00634EAB" w:rsidRPr="00634EAB">
        <w:t xml:space="preserve"> </w:t>
      </w:r>
      <w:r w:rsidR="004202A4">
        <w:t xml:space="preserve">exercise options to </w:t>
      </w:r>
      <w:r w:rsidR="00634EAB" w:rsidRPr="00634EAB">
        <w:t xml:space="preserve">extend the Term </w:t>
      </w:r>
      <w:bookmarkStart w:id="31" w:name="_Hlk11649509"/>
      <w:r w:rsidR="00634EAB" w:rsidRPr="00634EAB">
        <w:t xml:space="preserve">of this </w:t>
      </w:r>
      <w:r w:rsidR="007871CB">
        <w:t xml:space="preserve">Head Agreement </w:t>
      </w:r>
      <w:r w:rsidR="00141391">
        <w:t xml:space="preserve">after the Initial Term </w:t>
      </w:r>
      <w:r w:rsidR="00E3153A">
        <w:t xml:space="preserve">on </w:t>
      </w:r>
      <w:r w:rsidR="004202A4">
        <w:t xml:space="preserve">no more than </w:t>
      </w:r>
      <w:r w:rsidR="00E3153A">
        <w:t xml:space="preserve">two occasions </w:t>
      </w:r>
      <w:r w:rsidR="00634EAB" w:rsidRPr="00634EAB">
        <w:t>on the same terms and conditions</w:t>
      </w:r>
      <w:r w:rsidR="004202A4">
        <w:t>,</w:t>
      </w:r>
      <w:r w:rsidR="00634EAB" w:rsidRPr="00634EAB">
        <w:t xml:space="preserve"> for the period </w:t>
      </w:r>
      <w:r w:rsidR="0066701D">
        <w:t xml:space="preserve">not exceeding the </w:t>
      </w:r>
      <w:r w:rsidR="00042599">
        <w:t>Renewal</w:t>
      </w:r>
      <w:r w:rsidR="0066701D">
        <w:t xml:space="preserve"> Period</w:t>
      </w:r>
      <w:r w:rsidR="00634EAB" w:rsidRPr="00634EAB">
        <w:t xml:space="preserve">, by giving the </w:t>
      </w:r>
      <w:r w:rsidR="00D82BC0">
        <w:t>Supplier</w:t>
      </w:r>
      <w:r w:rsidR="00634EAB">
        <w:t xml:space="preserve"> n</w:t>
      </w:r>
      <w:r w:rsidR="00634EAB" w:rsidRPr="00634EAB">
        <w:t xml:space="preserve">otice at least 30 days prior </w:t>
      </w:r>
      <w:r w:rsidR="00634EAB">
        <w:t>to</w:t>
      </w:r>
      <w:r w:rsidR="00634EAB" w:rsidRPr="00634EAB">
        <w:t xml:space="preserve"> the end of the </w:t>
      </w:r>
      <w:r w:rsidR="00141391">
        <w:t xml:space="preserve">then current </w:t>
      </w:r>
      <w:r w:rsidR="00634EAB" w:rsidRPr="00634EAB">
        <w:t>Term.</w:t>
      </w:r>
      <w:bookmarkEnd w:id="30"/>
      <w:bookmarkEnd w:id="31"/>
      <w:r w:rsidR="00634EAB">
        <w:t xml:space="preserve"> </w:t>
      </w:r>
    </w:p>
    <w:p w14:paraId="697B14BC" w14:textId="39250905" w:rsidR="00650D18" w:rsidRPr="007871CB" w:rsidRDefault="00650D18" w:rsidP="00282424">
      <w:pPr>
        <w:pStyle w:val="Heading9"/>
        <w:tabs>
          <w:tab w:val="clear" w:pos="567"/>
          <w:tab w:val="num" w:pos="709"/>
        </w:tabs>
        <w:ind w:left="709" w:hanging="709"/>
      </w:pPr>
      <w:bookmarkStart w:id="32" w:name="_Toc15419229"/>
      <w:r>
        <w:t xml:space="preserve">How </w:t>
      </w:r>
      <w:r w:rsidR="002E7CC0">
        <w:t>Digital Engineering Service</w:t>
      </w:r>
      <w:r>
        <w:t>s are ordered</w:t>
      </w:r>
      <w:bookmarkEnd w:id="32"/>
      <w:r w:rsidR="00442A17">
        <w:t xml:space="preserve"> by Eligible </w:t>
      </w:r>
      <w:r w:rsidR="00B527A5">
        <w:t xml:space="preserve">Customers </w:t>
      </w:r>
    </w:p>
    <w:p w14:paraId="31D75514" w14:textId="15413CBD" w:rsidR="00650D18" w:rsidRDefault="00502FE6" w:rsidP="00D0259E">
      <w:pPr>
        <w:pStyle w:val="Heading1"/>
      </w:pPr>
      <w:bookmarkStart w:id="33" w:name="_Ref11497135"/>
      <w:bookmarkStart w:id="34" w:name="_Toc15419230"/>
      <w:r>
        <w:t>Customer</w:t>
      </w:r>
      <w:r w:rsidR="00650D18">
        <w:t xml:space="preserve"> Contracts</w:t>
      </w:r>
      <w:r w:rsidR="00604BA1">
        <w:t xml:space="preserve"> and </w:t>
      </w:r>
      <w:r w:rsidR="00DE02ED">
        <w:t>Order</w:t>
      </w:r>
      <w:r w:rsidR="00604BA1">
        <w:t>s</w:t>
      </w:r>
      <w:bookmarkEnd w:id="33"/>
      <w:bookmarkEnd w:id="34"/>
    </w:p>
    <w:p w14:paraId="2CE79F82" w14:textId="77777777" w:rsidR="00650D18" w:rsidRDefault="00650D18" w:rsidP="00D0259E">
      <w:pPr>
        <w:pStyle w:val="Heading2"/>
      </w:pPr>
      <w:bookmarkStart w:id="35" w:name="_Toc15419231"/>
      <w:r>
        <w:t>Overview</w:t>
      </w:r>
      <w:bookmarkEnd w:id="35"/>
    </w:p>
    <w:p w14:paraId="4CDEFD64" w14:textId="4CBB57C8" w:rsidR="00502FE6" w:rsidRDefault="005205F0" w:rsidP="00442A17">
      <w:pPr>
        <w:pStyle w:val="Heading3"/>
      </w:pPr>
      <w:bookmarkStart w:id="36" w:name="_Hlk10289338"/>
      <w:r>
        <w:t>A</w:t>
      </w:r>
      <w:r w:rsidR="00C021BD">
        <w:t>n Eligible</w:t>
      </w:r>
      <w:r w:rsidR="00502FE6">
        <w:t xml:space="preserve"> </w:t>
      </w:r>
      <w:r>
        <w:t>Customer</w:t>
      </w:r>
      <w:r w:rsidR="00502FE6">
        <w:t xml:space="preserve"> may </w:t>
      </w:r>
      <w:r w:rsidR="007139DC">
        <w:t>purchase</w:t>
      </w:r>
      <w:r w:rsidR="00502FE6">
        <w:t xml:space="preserve"> </w:t>
      </w:r>
      <w:r w:rsidR="001E2709">
        <w:t xml:space="preserve">Approved </w:t>
      </w:r>
      <w:r w:rsidR="002E7CC0">
        <w:t>Digital Engineering Service</w:t>
      </w:r>
      <w:r w:rsidR="00502FE6">
        <w:t xml:space="preserve">s from the </w:t>
      </w:r>
      <w:r w:rsidR="00D82BC0">
        <w:t>Supplier</w:t>
      </w:r>
      <w:r w:rsidR="00502FE6">
        <w:t xml:space="preserve"> by</w:t>
      </w:r>
      <w:bookmarkEnd w:id="36"/>
      <w:r w:rsidR="00502FE6">
        <w:t>:</w:t>
      </w:r>
    </w:p>
    <w:p w14:paraId="21ABC3E4" w14:textId="1FB1594B" w:rsidR="00502FE6" w:rsidRDefault="00502FE6" w:rsidP="00442A17">
      <w:pPr>
        <w:pStyle w:val="Heading4"/>
      </w:pPr>
      <w:proofErr w:type="gramStart"/>
      <w:r>
        <w:t>entering</w:t>
      </w:r>
      <w:proofErr w:type="gramEnd"/>
      <w:r>
        <w:t xml:space="preserve"> into a Customer Contract with the </w:t>
      </w:r>
      <w:r w:rsidR="00D82BC0">
        <w:t>Supplier</w:t>
      </w:r>
      <w:r w:rsidR="00C021BD">
        <w:t xml:space="preserve">. The Customer Contract </w:t>
      </w:r>
      <w:r w:rsidR="004202A4">
        <w:t xml:space="preserve">must </w:t>
      </w:r>
      <w:r w:rsidR="00C021BD">
        <w:t xml:space="preserve">be in the form of </w:t>
      </w:r>
      <w:r w:rsidR="004202A4">
        <w:t>the template Customer Contract terms as attached at Schedule 4</w:t>
      </w:r>
      <w:r w:rsidR="00180A6E">
        <w:t xml:space="preserve"> (Form of Customer Contract)</w:t>
      </w:r>
      <w:r>
        <w:t xml:space="preserve">.  The Customer Contract </w:t>
      </w:r>
      <w:r w:rsidR="000526AF">
        <w:t xml:space="preserve">is a master-style agreement which </w:t>
      </w:r>
      <w:r>
        <w:t>sets out the terms o</w:t>
      </w:r>
      <w:r w:rsidR="00EC2DDA">
        <w:t>n</w:t>
      </w:r>
      <w:r>
        <w:t xml:space="preserve"> which the </w:t>
      </w:r>
      <w:r w:rsidR="00D82BC0">
        <w:t>Supplier</w:t>
      </w:r>
      <w:r>
        <w:t xml:space="preserve"> will supply </w:t>
      </w:r>
      <w:r w:rsidR="001E2709">
        <w:t xml:space="preserve">Approved </w:t>
      </w:r>
      <w:r w:rsidR="002E7CC0">
        <w:t>Digital Engineering Service</w:t>
      </w:r>
      <w:r>
        <w:t xml:space="preserve">s to the </w:t>
      </w:r>
      <w:r w:rsidR="00C021BD">
        <w:t xml:space="preserve">Eligible </w:t>
      </w:r>
      <w:r w:rsidR="005205F0">
        <w:t>Customer</w:t>
      </w:r>
      <w:r>
        <w:t>; and</w:t>
      </w:r>
    </w:p>
    <w:p w14:paraId="5586BE25" w14:textId="4A07459B" w:rsidR="00604BA1" w:rsidRDefault="000526AF" w:rsidP="00442A17">
      <w:pPr>
        <w:pStyle w:val="Heading4"/>
      </w:pPr>
      <w:proofErr w:type="gramStart"/>
      <w:r>
        <w:t>once</w:t>
      </w:r>
      <w:proofErr w:type="gramEnd"/>
      <w:r>
        <w:t xml:space="preserve"> a Customer Contract has been executed, </w:t>
      </w:r>
      <w:bookmarkStart w:id="37" w:name="_Hlk10289346"/>
      <w:r w:rsidR="00502FE6">
        <w:t>enter</w:t>
      </w:r>
      <w:r w:rsidR="00C021BD">
        <w:t>ing</w:t>
      </w:r>
      <w:r w:rsidR="00502FE6">
        <w:t xml:space="preserve"> into an </w:t>
      </w:r>
      <w:r w:rsidR="00DE02ED">
        <w:t>Order</w:t>
      </w:r>
      <w:r w:rsidR="00502FE6">
        <w:t xml:space="preserve"> with the </w:t>
      </w:r>
      <w:r w:rsidR="00D82BC0">
        <w:t>Supplier</w:t>
      </w:r>
      <w:r w:rsidR="004202A4">
        <w:t xml:space="preserve"> in the form attached to the template Customer Contract in Schedule 4</w:t>
      </w:r>
      <w:r w:rsidR="00180A6E">
        <w:t xml:space="preserve"> (Form of Customer Contract)</w:t>
      </w:r>
      <w:r w:rsidR="00502FE6">
        <w:t xml:space="preserve">.  </w:t>
      </w:r>
      <w:r w:rsidR="00604BA1">
        <w:t xml:space="preserve">The </w:t>
      </w:r>
      <w:r w:rsidR="00DE02ED">
        <w:t>Order</w:t>
      </w:r>
      <w:r w:rsidR="00604BA1">
        <w:t xml:space="preserve"> sets out the </w:t>
      </w:r>
      <w:r w:rsidR="004D3880">
        <w:t>quantity</w:t>
      </w:r>
      <w:r w:rsidR="0067614D">
        <w:t>, price</w:t>
      </w:r>
      <w:r w:rsidR="004D3880">
        <w:t xml:space="preserve"> and other details </w:t>
      </w:r>
      <w:r w:rsidR="00604BA1">
        <w:t xml:space="preserve">of the </w:t>
      </w:r>
      <w:r w:rsidR="00141391">
        <w:t xml:space="preserve">specific </w:t>
      </w:r>
      <w:r w:rsidR="001E2709">
        <w:t xml:space="preserve">Approved </w:t>
      </w:r>
      <w:r w:rsidR="002E7CC0">
        <w:t>Digital Engineering Service</w:t>
      </w:r>
      <w:r w:rsidR="00604BA1">
        <w:t xml:space="preserve">s which the </w:t>
      </w:r>
      <w:r w:rsidR="005205F0">
        <w:t>Customer</w:t>
      </w:r>
      <w:r w:rsidR="00604BA1">
        <w:t xml:space="preserve"> purchases </w:t>
      </w:r>
      <w:r w:rsidR="00141391">
        <w:t xml:space="preserve">from time to time </w:t>
      </w:r>
      <w:r w:rsidR="00604BA1">
        <w:t xml:space="preserve">from the </w:t>
      </w:r>
      <w:r w:rsidR="00D82BC0">
        <w:t>Supplier</w:t>
      </w:r>
      <w:r>
        <w:t xml:space="preserve"> under the Customer Contract</w:t>
      </w:r>
      <w:r w:rsidR="00604BA1">
        <w:t xml:space="preserve">.  </w:t>
      </w:r>
      <w:bookmarkEnd w:id="37"/>
    </w:p>
    <w:p w14:paraId="0E60AF18" w14:textId="77777777" w:rsidR="00604BA1" w:rsidRDefault="00604BA1" w:rsidP="00D0259E">
      <w:pPr>
        <w:pStyle w:val="Heading2"/>
      </w:pPr>
      <w:bookmarkStart w:id="38" w:name="_Toc15419233"/>
      <w:r>
        <w:t>Form of Customer Contract</w:t>
      </w:r>
      <w:bookmarkEnd w:id="38"/>
    </w:p>
    <w:p w14:paraId="2E29D3BB" w14:textId="0C6092E2" w:rsidR="00604BA1" w:rsidRDefault="00141391" w:rsidP="00442A17">
      <w:pPr>
        <w:pStyle w:val="Heading3"/>
      </w:pPr>
      <w:r>
        <w:t xml:space="preserve">Each </w:t>
      </w:r>
      <w:r w:rsidR="008512FD">
        <w:t xml:space="preserve">Customer Contract </w:t>
      </w:r>
      <w:r>
        <w:t xml:space="preserve">will </w:t>
      </w:r>
      <w:r w:rsidR="008512FD">
        <w:t>comprise:</w:t>
      </w:r>
    </w:p>
    <w:p w14:paraId="71EE01D2" w14:textId="60EC0E4E" w:rsidR="004202A4" w:rsidRDefault="004202A4" w:rsidP="00442A17">
      <w:pPr>
        <w:pStyle w:val="Heading4"/>
      </w:pPr>
      <w:proofErr w:type="gramStart"/>
      <w:r>
        <w:lastRenderedPageBreak/>
        <w:t>any</w:t>
      </w:r>
      <w:proofErr w:type="gramEnd"/>
      <w:r>
        <w:t xml:space="preserve"> special conditions agreed in accordance with paragraph (c);</w:t>
      </w:r>
    </w:p>
    <w:p w14:paraId="15AC86A0" w14:textId="489AB3BC" w:rsidR="008512FD" w:rsidRDefault="008512FD" w:rsidP="00442A17">
      <w:pPr>
        <w:pStyle w:val="Heading4"/>
      </w:pPr>
      <w:proofErr w:type="gramStart"/>
      <w:r>
        <w:t>the</w:t>
      </w:r>
      <w:proofErr w:type="gramEnd"/>
      <w:r>
        <w:t xml:space="preserve"> Customer Contract in the form set out at </w:t>
      </w:r>
      <w:r w:rsidR="00EF332C">
        <w:t xml:space="preserve">Schedule </w:t>
      </w:r>
      <w:r w:rsidR="00442A17">
        <w:t>4</w:t>
      </w:r>
      <w:r w:rsidR="00EF332C">
        <w:t xml:space="preserve"> (</w:t>
      </w:r>
      <w:r w:rsidR="00EF332C" w:rsidRPr="00431085">
        <w:t>Form of Customer Contract</w:t>
      </w:r>
      <w:r w:rsidR="00EF332C">
        <w:t>);</w:t>
      </w:r>
    </w:p>
    <w:p w14:paraId="0651E916" w14:textId="50F52E05" w:rsidR="00442A17" w:rsidRDefault="008512FD" w:rsidP="00442A17">
      <w:pPr>
        <w:pStyle w:val="Heading4"/>
      </w:pPr>
      <w:bookmarkStart w:id="39" w:name="_Hlk11499279"/>
      <w:proofErr w:type="gramStart"/>
      <w:r>
        <w:t>the</w:t>
      </w:r>
      <w:proofErr w:type="gramEnd"/>
      <w:r>
        <w:t xml:space="preserve"> Customer Contract Details</w:t>
      </w:r>
      <w:bookmarkEnd w:id="39"/>
      <w:r w:rsidR="00C021BD">
        <w:t>, completed in the form set out at Schedule 4 (</w:t>
      </w:r>
      <w:r w:rsidR="00C021BD" w:rsidRPr="00431085">
        <w:t>Form of Customer Contract</w:t>
      </w:r>
      <w:r w:rsidR="00C021BD">
        <w:t>)</w:t>
      </w:r>
      <w:r>
        <w:t xml:space="preserve">; </w:t>
      </w:r>
    </w:p>
    <w:p w14:paraId="5B2C8E21" w14:textId="259E7EB1" w:rsidR="00442A17" w:rsidRDefault="00442A17" w:rsidP="00442A17">
      <w:pPr>
        <w:pStyle w:val="Heading4"/>
      </w:pPr>
      <w:proofErr w:type="gramStart"/>
      <w:r>
        <w:t>the</w:t>
      </w:r>
      <w:proofErr w:type="gramEnd"/>
      <w:r>
        <w:t xml:space="preserve"> Schedules to the Customer Contract;</w:t>
      </w:r>
    </w:p>
    <w:p w14:paraId="5D7357A1" w14:textId="33D68B13" w:rsidR="00442A17" w:rsidRDefault="00442A17" w:rsidP="00442A17">
      <w:pPr>
        <w:pStyle w:val="Heading4"/>
      </w:pPr>
      <w:proofErr w:type="gramStart"/>
      <w:r>
        <w:t>each</w:t>
      </w:r>
      <w:proofErr w:type="gramEnd"/>
      <w:r>
        <w:t xml:space="preserve"> Order placed under the Customer Contract; and </w:t>
      </w:r>
    </w:p>
    <w:p w14:paraId="57557382" w14:textId="7C66193C" w:rsidR="00442A17" w:rsidRDefault="00442A17" w:rsidP="00442A17">
      <w:pPr>
        <w:pStyle w:val="Heading4"/>
      </w:pPr>
      <w:proofErr w:type="gramStart"/>
      <w:r>
        <w:t>any</w:t>
      </w:r>
      <w:proofErr w:type="gramEnd"/>
      <w:r>
        <w:t xml:space="preserve"> document that is attached to or referenced in the Schedules or Orders to the Customer Contract.</w:t>
      </w:r>
    </w:p>
    <w:p w14:paraId="16B56BDD" w14:textId="5AEDA6EB" w:rsidR="008512FD" w:rsidRDefault="00442A17" w:rsidP="00644B78">
      <w:pPr>
        <w:pStyle w:val="Heading3"/>
      </w:pPr>
      <w:r>
        <w:t xml:space="preserve">To the extent that there is any conflict between any of the documents that comprise the Customer Contract, the conflict will be resolved by giving priority to the documents in the order </w:t>
      </w:r>
      <w:r w:rsidR="004202A4">
        <w:t xml:space="preserve">in </w:t>
      </w:r>
      <w:r>
        <w:t>which they appear in paragraph (a) (with an item higher in the list having priority over a lower item to the extent of the inconsistency).</w:t>
      </w:r>
    </w:p>
    <w:p w14:paraId="6A296461" w14:textId="48392882" w:rsidR="004202A4" w:rsidRDefault="004202A4" w:rsidP="00644B78">
      <w:pPr>
        <w:pStyle w:val="Heading3"/>
      </w:pPr>
      <w:r>
        <w:t xml:space="preserve">Special conditions must only be included in a Customer Contract where they are required by Law (for example, where a non-NSW government Eligible Customer is required to comply with the </w:t>
      </w:r>
      <w:r w:rsidR="00C021BD">
        <w:t>L</w:t>
      </w:r>
      <w:r>
        <w:t>aws of its jurisdiction).</w:t>
      </w:r>
    </w:p>
    <w:p w14:paraId="410771AF" w14:textId="63E21B4F" w:rsidR="008512FD" w:rsidRDefault="002B1B2C" w:rsidP="00D0259E">
      <w:pPr>
        <w:pStyle w:val="Heading2"/>
      </w:pPr>
      <w:r>
        <w:t>Placing Orders</w:t>
      </w:r>
    </w:p>
    <w:p w14:paraId="55A12AC1" w14:textId="53D3F1D2" w:rsidR="00245406" w:rsidRDefault="00245406" w:rsidP="00245406">
      <w:pPr>
        <w:pStyle w:val="BodyText"/>
      </w:pPr>
      <w:bookmarkStart w:id="40" w:name="_Hlk10289594"/>
      <w:r>
        <w:t>O</w:t>
      </w:r>
      <w:r w:rsidR="008512FD">
        <w:t xml:space="preserve">nce </w:t>
      </w:r>
      <w:r w:rsidR="00C021BD">
        <w:t xml:space="preserve">a Customer and the Supplier </w:t>
      </w:r>
      <w:r w:rsidR="008512FD">
        <w:t xml:space="preserve">execute </w:t>
      </w:r>
      <w:r w:rsidR="00C021BD">
        <w:t xml:space="preserve">both a Customer Contract under this Head Agreement and </w:t>
      </w:r>
      <w:r w:rsidR="008512FD">
        <w:t>an Order Form</w:t>
      </w:r>
      <w:r>
        <w:t>:</w:t>
      </w:r>
    </w:p>
    <w:p w14:paraId="22F20256" w14:textId="779122BB" w:rsidR="00993D45" w:rsidRDefault="00245406" w:rsidP="00245406">
      <w:pPr>
        <w:pStyle w:val="Heading3"/>
      </w:pPr>
      <w:proofErr w:type="gramStart"/>
      <w:r>
        <w:t>an</w:t>
      </w:r>
      <w:proofErr w:type="gramEnd"/>
      <w:r>
        <w:t xml:space="preserve"> Order is formed and is incorporated in the relevant Customer Contract; and</w:t>
      </w:r>
    </w:p>
    <w:p w14:paraId="39505703" w14:textId="2742C133" w:rsidR="008512FD" w:rsidRDefault="00993D45" w:rsidP="00D0259E">
      <w:pPr>
        <w:pStyle w:val="Heading3"/>
      </w:pPr>
      <w:proofErr w:type="gramStart"/>
      <w:r>
        <w:t>the</w:t>
      </w:r>
      <w:proofErr w:type="gramEnd"/>
      <w:r w:rsidR="003D3D07">
        <w:t xml:space="preserve"> </w:t>
      </w:r>
      <w:r w:rsidR="00D82BC0">
        <w:t>Supplier</w:t>
      </w:r>
      <w:r>
        <w:t xml:space="preserve"> must provide the </w:t>
      </w:r>
      <w:r w:rsidR="001E2709">
        <w:t xml:space="preserve">Approved </w:t>
      </w:r>
      <w:r w:rsidR="002E7CC0">
        <w:t>Digital Engineering Service</w:t>
      </w:r>
      <w:r>
        <w:t xml:space="preserve">s described in the </w:t>
      </w:r>
      <w:r w:rsidR="00DE02ED">
        <w:t>Order</w:t>
      </w:r>
      <w:r>
        <w:t xml:space="preserve"> in accordance with that </w:t>
      </w:r>
      <w:r w:rsidR="00DE02ED">
        <w:t>Order</w:t>
      </w:r>
      <w:r>
        <w:t xml:space="preserve"> and the Customer Contract.  </w:t>
      </w:r>
    </w:p>
    <w:p w14:paraId="0CEF0306" w14:textId="77777777" w:rsidR="00442A17" w:rsidRDefault="00442A17" w:rsidP="00442A17">
      <w:pPr>
        <w:pStyle w:val="Heading2"/>
      </w:pPr>
      <w:bookmarkStart w:id="41" w:name="_Toc15419232"/>
      <w:bookmarkStart w:id="42" w:name="_Hlk10289420"/>
      <w:r>
        <w:t>No exclusivity or minimum commitment</w:t>
      </w:r>
      <w:bookmarkEnd w:id="41"/>
    </w:p>
    <w:p w14:paraId="4853B5D3" w14:textId="46FA8F01" w:rsidR="00442A17" w:rsidRDefault="00442A17" w:rsidP="00442A17">
      <w:pPr>
        <w:pStyle w:val="BodyText"/>
      </w:pPr>
      <w:r>
        <w:t xml:space="preserve">The </w:t>
      </w:r>
      <w:r w:rsidR="00D82BC0">
        <w:t>Supplier</w:t>
      </w:r>
      <w:r>
        <w:t xml:space="preserve"> acknowledges and agrees that: </w:t>
      </w:r>
    </w:p>
    <w:p w14:paraId="4E7345C7" w14:textId="56FE72AE" w:rsidR="00442A17" w:rsidRDefault="00442A17" w:rsidP="00442A17">
      <w:pPr>
        <w:pStyle w:val="Heading3"/>
      </w:pPr>
      <w:proofErr w:type="gramStart"/>
      <w:r>
        <w:t>entry</w:t>
      </w:r>
      <w:proofErr w:type="gramEnd"/>
      <w:r>
        <w:t xml:space="preserve"> into this Head Agreement does not guarantee that any </w:t>
      </w:r>
      <w:r w:rsidR="00C021BD">
        <w:t xml:space="preserve">Eligible </w:t>
      </w:r>
      <w:r>
        <w:t xml:space="preserve">Customer will enter into a Customer Contract or Order with the </w:t>
      </w:r>
      <w:r w:rsidR="00D82BC0">
        <w:t>Supplier</w:t>
      </w:r>
      <w:r>
        <w:t>;</w:t>
      </w:r>
    </w:p>
    <w:p w14:paraId="3748D33D" w14:textId="04F0E307" w:rsidR="00442A17" w:rsidRDefault="00442A17" w:rsidP="00442A17">
      <w:pPr>
        <w:pStyle w:val="Heading3"/>
      </w:pPr>
      <w:r>
        <w:t xml:space="preserve">a Customer is under no obligation to purchase any minimum volumes of </w:t>
      </w:r>
      <w:r w:rsidR="001E2709">
        <w:t xml:space="preserve">Approved </w:t>
      </w:r>
      <w:r>
        <w:t xml:space="preserve">Digital Engineering Services or meet any minimum spend level under a Customer Contract, unless otherwise agreed under </w:t>
      </w:r>
      <w:r w:rsidR="00C021BD">
        <w:t xml:space="preserve">a </w:t>
      </w:r>
      <w:r>
        <w:t>Customer Contract; and</w:t>
      </w:r>
    </w:p>
    <w:p w14:paraId="7FDC8CDE" w14:textId="74AD272D" w:rsidR="00442A17" w:rsidRDefault="00442A17" w:rsidP="00442A17">
      <w:pPr>
        <w:pStyle w:val="Heading3"/>
      </w:pPr>
      <w:proofErr w:type="gramStart"/>
      <w:r>
        <w:t>the</w:t>
      </w:r>
      <w:proofErr w:type="gramEnd"/>
      <w:r>
        <w:t xml:space="preserve"> </w:t>
      </w:r>
      <w:r w:rsidR="00D82BC0">
        <w:t>Supplier</w:t>
      </w:r>
      <w:r>
        <w:t xml:space="preserve"> is not an exclusive provider of the </w:t>
      </w:r>
      <w:r w:rsidR="001E2709">
        <w:t xml:space="preserve">Approved </w:t>
      </w:r>
      <w:r>
        <w:t>Digital Engineering Services to a Customer</w:t>
      </w:r>
      <w:r w:rsidR="00C021BD">
        <w:t xml:space="preserve"> or the Eligible Customers</w:t>
      </w:r>
      <w:r>
        <w:t>.</w:t>
      </w:r>
    </w:p>
    <w:p w14:paraId="5A26E9A7" w14:textId="269EBD1F" w:rsidR="00993D45" w:rsidRDefault="002E7CC0" w:rsidP="00245406">
      <w:pPr>
        <w:pStyle w:val="Heading1"/>
      </w:pPr>
      <w:bookmarkStart w:id="43" w:name="_Toc15419236"/>
      <w:bookmarkEnd w:id="40"/>
      <w:bookmarkEnd w:id="42"/>
      <w:r>
        <w:t>Digital Engineering Service</w:t>
      </w:r>
      <w:r w:rsidR="002C1329">
        <w:t>s</w:t>
      </w:r>
      <w:bookmarkEnd w:id="43"/>
      <w:r w:rsidR="002C1329">
        <w:t xml:space="preserve"> </w:t>
      </w:r>
    </w:p>
    <w:p w14:paraId="21DE8429" w14:textId="6A0D7AF8" w:rsidR="002C1329" w:rsidRDefault="002C1329" w:rsidP="00245406">
      <w:pPr>
        <w:pStyle w:val="Heading2"/>
      </w:pPr>
      <w:bookmarkStart w:id="44" w:name="_Toc15419237"/>
      <w:r>
        <w:t xml:space="preserve">Scope of </w:t>
      </w:r>
      <w:r w:rsidR="002E7CC0">
        <w:t>Digital Engineering Service</w:t>
      </w:r>
      <w:r>
        <w:t>s</w:t>
      </w:r>
      <w:bookmarkEnd w:id="44"/>
    </w:p>
    <w:p w14:paraId="712CB06B" w14:textId="368BADE7" w:rsidR="00141391" w:rsidRDefault="00141391" w:rsidP="00141391">
      <w:pPr>
        <w:pStyle w:val="Heading3"/>
      </w:pPr>
      <w:r>
        <w:t xml:space="preserve">The </w:t>
      </w:r>
      <w:r w:rsidR="00D82BC0">
        <w:t>Supplier</w:t>
      </w:r>
      <w:r>
        <w:t xml:space="preserve"> </w:t>
      </w:r>
      <w:r w:rsidR="00442A17">
        <w:t>acknowledges</w:t>
      </w:r>
      <w:r>
        <w:t xml:space="preserve"> and agrees that:</w:t>
      </w:r>
    </w:p>
    <w:p w14:paraId="5A78F0D4" w14:textId="0D55483C" w:rsidR="00141391" w:rsidRDefault="00141391" w:rsidP="00141391">
      <w:pPr>
        <w:pStyle w:val="Heading4"/>
      </w:pPr>
      <w:proofErr w:type="gramStart"/>
      <w:r>
        <w:t>the</w:t>
      </w:r>
      <w:proofErr w:type="gramEnd"/>
      <w:r>
        <w:t xml:space="preserve"> Scheme is limited to Digital Engineering Services and does not include the supply of information technology; </w:t>
      </w:r>
    </w:p>
    <w:p w14:paraId="6CBBEDDF" w14:textId="33085635" w:rsidR="00141391" w:rsidRDefault="00141391" w:rsidP="00141391">
      <w:pPr>
        <w:pStyle w:val="Heading4"/>
      </w:pPr>
      <w:proofErr w:type="gramStart"/>
      <w:r>
        <w:lastRenderedPageBreak/>
        <w:t>it</w:t>
      </w:r>
      <w:proofErr w:type="gramEnd"/>
      <w:r>
        <w:t xml:space="preserve"> must not supply software or hardware or other information technology under this Head Agreement or a Customer Contract entered into under it; and</w:t>
      </w:r>
    </w:p>
    <w:p w14:paraId="71AE1ECB" w14:textId="0BF31620" w:rsidR="00141391" w:rsidRDefault="00141391" w:rsidP="00141391">
      <w:pPr>
        <w:pStyle w:val="Heading4"/>
      </w:pPr>
      <w:bookmarkStart w:id="45" w:name="_Ref11675190"/>
      <w:r>
        <w:t xml:space="preserve">unless otherwise agreed to by </w:t>
      </w:r>
      <w:proofErr w:type="spellStart"/>
      <w:r>
        <w:t>TfNSW</w:t>
      </w:r>
      <w:proofErr w:type="spellEnd"/>
      <w:r>
        <w:t xml:space="preserve">, it must not supply or offer to supply to a Customer any service under this Head Agreement, that </w:t>
      </w:r>
      <w:r w:rsidR="00102F00">
        <w:t xml:space="preserve">is </w:t>
      </w:r>
      <w:r>
        <w:t xml:space="preserve">not described in the Service </w:t>
      </w:r>
      <w:r w:rsidR="00CF42EA">
        <w:t>Menu</w:t>
      </w:r>
      <w:r w:rsidR="001E2709">
        <w:t xml:space="preserve"> as an Approved Digital Engineering Service</w:t>
      </w:r>
      <w:r>
        <w:t xml:space="preserve">. </w:t>
      </w:r>
      <w:bookmarkEnd w:id="45"/>
      <w:r>
        <w:t xml:space="preserve">  </w:t>
      </w:r>
    </w:p>
    <w:p w14:paraId="41076A48" w14:textId="6457122B" w:rsidR="002B1B2C" w:rsidRDefault="00141391" w:rsidP="00141391">
      <w:pPr>
        <w:pStyle w:val="Heading3"/>
      </w:pPr>
      <w:r>
        <w:t xml:space="preserve">If the </w:t>
      </w:r>
      <w:r w:rsidR="00D82BC0">
        <w:t>Supplier</w:t>
      </w:r>
      <w:r>
        <w:t xml:space="preserve"> receives a </w:t>
      </w:r>
      <w:r w:rsidR="002B1B2C">
        <w:t xml:space="preserve">draft Order or </w:t>
      </w:r>
      <w:r>
        <w:t xml:space="preserve">request from an </w:t>
      </w:r>
      <w:r w:rsidR="004202A4">
        <w:t>Eligible Customer</w:t>
      </w:r>
      <w:r>
        <w:t xml:space="preserve"> to supply under this Head Agreement </w:t>
      </w:r>
      <w:r w:rsidR="00C021BD">
        <w:t xml:space="preserve">or a Customer Contract </w:t>
      </w:r>
      <w:r>
        <w:t xml:space="preserve">any product or service </w:t>
      </w:r>
      <w:r w:rsidR="002B1B2C">
        <w:t>that is not an Approved Digital Engineering Service</w:t>
      </w:r>
      <w:r>
        <w:t xml:space="preserve"> (including any information technology), it </w:t>
      </w:r>
      <w:r w:rsidR="00442A17">
        <w:t>must</w:t>
      </w:r>
      <w:r w:rsidR="002B1B2C">
        <w:t>:</w:t>
      </w:r>
    </w:p>
    <w:p w14:paraId="7A15C9DB" w14:textId="5AACD65E" w:rsidR="002B1B2C" w:rsidRDefault="00141391" w:rsidP="002B1B2C">
      <w:pPr>
        <w:pStyle w:val="Heading4"/>
      </w:pPr>
      <w:proofErr w:type="gramStart"/>
      <w:r>
        <w:t>direct</w:t>
      </w:r>
      <w:proofErr w:type="gramEnd"/>
      <w:r>
        <w:t xml:space="preserve"> the individual to </w:t>
      </w:r>
      <w:proofErr w:type="spellStart"/>
      <w:r>
        <w:t>TfNSW</w:t>
      </w:r>
      <w:proofErr w:type="spellEnd"/>
      <w:r w:rsidR="002B1B2C">
        <w:t>; and</w:t>
      </w:r>
    </w:p>
    <w:p w14:paraId="67601EE0" w14:textId="4E756347" w:rsidR="00141391" w:rsidRDefault="002B1B2C" w:rsidP="002B1B2C">
      <w:pPr>
        <w:pStyle w:val="Heading4"/>
      </w:pPr>
      <w:proofErr w:type="gramStart"/>
      <w:r>
        <w:t>not</w:t>
      </w:r>
      <w:proofErr w:type="gramEnd"/>
      <w:r>
        <w:t xml:space="preserve"> supply or agree to supply the products or services that are not Approved Digital Engineering Services until such time as </w:t>
      </w:r>
      <w:proofErr w:type="spellStart"/>
      <w:r>
        <w:t>TfNSW</w:t>
      </w:r>
      <w:proofErr w:type="spellEnd"/>
      <w:r>
        <w:t xml:space="preserve"> has approved such supply under this Head Agreement</w:t>
      </w:r>
      <w:r w:rsidR="00141391">
        <w:t xml:space="preserve">. </w:t>
      </w:r>
    </w:p>
    <w:p w14:paraId="295AE4D0" w14:textId="13383C07" w:rsidR="00442A17" w:rsidRDefault="00442A17" w:rsidP="00141391">
      <w:pPr>
        <w:pStyle w:val="Heading2"/>
      </w:pPr>
      <w:r>
        <w:t>Scope of Prequalification</w:t>
      </w:r>
    </w:p>
    <w:p w14:paraId="6F639D53" w14:textId="07A48366" w:rsidR="00442A17" w:rsidRDefault="00442A17" w:rsidP="00442A17">
      <w:pPr>
        <w:pStyle w:val="Heading3"/>
      </w:pPr>
      <w:r>
        <w:t xml:space="preserve">The </w:t>
      </w:r>
      <w:r w:rsidR="00D82BC0">
        <w:t>Supplier</w:t>
      </w:r>
      <w:r>
        <w:t xml:space="preserve"> acknowledges and agrees that it is prequalified under the Scheme, and authorised under this Head Agreement, only for supply of the </w:t>
      </w:r>
      <w:r w:rsidR="001E2709">
        <w:t xml:space="preserve">Approved </w:t>
      </w:r>
      <w:r>
        <w:t xml:space="preserve">Digital Engineering Services identified in the Service Menu as services for which it is prequalified. </w:t>
      </w:r>
    </w:p>
    <w:p w14:paraId="5CD80500" w14:textId="111AC8D1" w:rsidR="00442A17" w:rsidRDefault="00442A17" w:rsidP="00442A17">
      <w:pPr>
        <w:pStyle w:val="Heading3"/>
      </w:pPr>
      <w:proofErr w:type="spellStart"/>
      <w:r>
        <w:t>TfNSW</w:t>
      </w:r>
      <w:proofErr w:type="spellEnd"/>
      <w:r>
        <w:t xml:space="preserve"> may by notice to the </w:t>
      </w:r>
      <w:r w:rsidR="00D82BC0">
        <w:t>Supplier</w:t>
      </w:r>
      <w:r>
        <w:t xml:space="preserve"> revoke a </w:t>
      </w:r>
      <w:r w:rsidR="00D82BC0">
        <w:t>Supplier</w:t>
      </w:r>
      <w:r>
        <w:t xml:space="preserve">’s prequalification in respect of one or more </w:t>
      </w:r>
      <w:r w:rsidR="001E2709">
        <w:t xml:space="preserve">Approved </w:t>
      </w:r>
      <w:r>
        <w:t>Digital Engineering Services:</w:t>
      </w:r>
    </w:p>
    <w:p w14:paraId="41C696FF" w14:textId="4B96A84E" w:rsidR="00442A17" w:rsidRDefault="00442A17" w:rsidP="00442A17">
      <w:pPr>
        <w:pStyle w:val="Heading4"/>
      </w:pPr>
      <w:proofErr w:type="gramStart"/>
      <w:r>
        <w:t>if</w:t>
      </w:r>
      <w:proofErr w:type="gramEnd"/>
      <w:r>
        <w:t xml:space="preserve"> the </w:t>
      </w:r>
      <w:r w:rsidR="00D82BC0">
        <w:t>Supplier</w:t>
      </w:r>
      <w:r>
        <w:t xml:space="preserve"> breaches this Head Agreement or a Customer Contract in respect of that </w:t>
      </w:r>
      <w:r w:rsidR="001E2709">
        <w:t xml:space="preserve">Approved </w:t>
      </w:r>
      <w:r>
        <w:t>Digital Engineering Service;</w:t>
      </w:r>
    </w:p>
    <w:p w14:paraId="449452BE" w14:textId="19FC0894" w:rsidR="00442A17" w:rsidRDefault="00442A17" w:rsidP="00442A17">
      <w:pPr>
        <w:pStyle w:val="Heading4"/>
      </w:pPr>
      <w:bookmarkStart w:id="46" w:name="_Ref16500127"/>
      <w:r>
        <w:t xml:space="preserve">if </w:t>
      </w:r>
      <w:proofErr w:type="spellStart"/>
      <w:r>
        <w:t>TfNSW</w:t>
      </w:r>
      <w:proofErr w:type="spellEnd"/>
      <w:r>
        <w:t xml:space="preserve"> receives complaint(s) in respect of the </w:t>
      </w:r>
      <w:r w:rsidR="00D82BC0">
        <w:t>Supplier</w:t>
      </w:r>
      <w:r>
        <w:t xml:space="preserve">’s performance in respect of the supply of that </w:t>
      </w:r>
      <w:r w:rsidR="001E2709">
        <w:t xml:space="preserve">Approved </w:t>
      </w:r>
      <w:r>
        <w:t xml:space="preserve">Digital Engineering Service and the </w:t>
      </w:r>
      <w:r w:rsidR="00D82BC0">
        <w:t>Supplier</w:t>
      </w:r>
      <w:r>
        <w:t xml:space="preserve"> is not able to provide an explanation that is satisfactory to </w:t>
      </w:r>
      <w:proofErr w:type="spellStart"/>
      <w:r>
        <w:t>TfNSW</w:t>
      </w:r>
      <w:proofErr w:type="spellEnd"/>
      <w:r>
        <w:t xml:space="preserve"> within</w:t>
      </w:r>
      <w:r w:rsidR="00CF42EA">
        <w:t xml:space="preserve"> 10</w:t>
      </w:r>
      <w:r>
        <w:t xml:space="preserve"> Business Days of receipt of a notice from </w:t>
      </w:r>
      <w:proofErr w:type="spellStart"/>
      <w:r>
        <w:t>TfNSW</w:t>
      </w:r>
      <w:proofErr w:type="spellEnd"/>
      <w:r>
        <w:t xml:space="preserve"> notifying that it intends to revoke the </w:t>
      </w:r>
      <w:r w:rsidR="00D82BC0">
        <w:t>Supplier</w:t>
      </w:r>
      <w:r>
        <w:t xml:space="preserve"> prequalification in respect of that service under this clause </w:t>
      </w:r>
      <w:r>
        <w:fldChar w:fldCharType="begin"/>
      </w:r>
      <w:r>
        <w:instrText xml:space="preserve"> REF _Ref16500127 \w \h </w:instrText>
      </w:r>
      <w:r>
        <w:fldChar w:fldCharType="separate"/>
      </w:r>
      <w:r w:rsidR="00082E91">
        <w:t>4.2(b</w:t>
      </w:r>
      <w:proofErr w:type="gramStart"/>
      <w:r w:rsidR="00082E91">
        <w:t>)(</w:t>
      </w:r>
      <w:proofErr w:type="gramEnd"/>
      <w:r w:rsidR="00082E91">
        <w:t>ii)</w:t>
      </w:r>
      <w:r>
        <w:fldChar w:fldCharType="end"/>
      </w:r>
      <w:r>
        <w:t>; or</w:t>
      </w:r>
      <w:bookmarkEnd w:id="46"/>
    </w:p>
    <w:p w14:paraId="4B74C24B" w14:textId="49E3A17A" w:rsidR="00442A17" w:rsidRDefault="00442A17" w:rsidP="00442A17">
      <w:pPr>
        <w:pStyle w:val="Heading4"/>
      </w:pPr>
      <w:proofErr w:type="gramStart"/>
      <w:r>
        <w:t>as</w:t>
      </w:r>
      <w:proofErr w:type="gramEnd"/>
      <w:r>
        <w:t xml:space="preserve"> a result of any </w:t>
      </w:r>
      <w:r w:rsidRPr="00704424">
        <w:t>annual</w:t>
      </w:r>
      <w:r>
        <w:t xml:space="preserve"> review by </w:t>
      </w:r>
      <w:proofErr w:type="spellStart"/>
      <w:r>
        <w:t>TfNSW</w:t>
      </w:r>
      <w:proofErr w:type="spellEnd"/>
      <w:r>
        <w:t xml:space="preserve"> of the </w:t>
      </w:r>
      <w:r w:rsidR="00D82BC0">
        <w:t>Supplier</w:t>
      </w:r>
      <w:r>
        <w:t xml:space="preserve">’s participation in the Scheme. </w:t>
      </w:r>
    </w:p>
    <w:p w14:paraId="52342082" w14:textId="47B04732" w:rsidR="007066EF" w:rsidRDefault="007066EF" w:rsidP="007066EF">
      <w:pPr>
        <w:pStyle w:val="Heading3"/>
      </w:pPr>
      <w:r>
        <w:t xml:space="preserve">The Supplier acknowledges that it is a condition of this Head Agreement, and of its participation in the Scheme, that it </w:t>
      </w:r>
      <w:r w:rsidR="002B1B2C">
        <w:t>complies</w:t>
      </w:r>
      <w:r>
        <w:t xml:space="preserve"> with the </w:t>
      </w:r>
      <w:r w:rsidR="00082E91">
        <w:t>Scheme Terms and Condition</w:t>
      </w:r>
      <w:r w:rsidR="00B7447A">
        <w:t>s</w:t>
      </w:r>
      <w:r>
        <w:t xml:space="preserve">. </w:t>
      </w:r>
    </w:p>
    <w:p w14:paraId="3DF53D0A" w14:textId="06685EDA" w:rsidR="00141391" w:rsidRDefault="00141391" w:rsidP="00141391">
      <w:pPr>
        <w:pStyle w:val="Heading2"/>
      </w:pPr>
      <w:r>
        <w:t xml:space="preserve">Amendments to the Service </w:t>
      </w:r>
      <w:r w:rsidR="00CF42EA">
        <w:t>Menu</w:t>
      </w:r>
    </w:p>
    <w:p w14:paraId="004023E9" w14:textId="4D519541" w:rsidR="00141391" w:rsidRDefault="00141391" w:rsidP="00442A17">
      <w:pPr>
        <w:pStyle w:val="Heading3"/>
        <w:numPr>
          <w:ilvl w:val="0"/>
          <w:numId w:val="0"/>
        </w:numPr>
        <w:ind w:left="1134"/>
      </w:pPr>
      <w:r>
        <w:t xml:space="preserve">The </w:t>
      </w:r>
      <w:r w:rsidR="00D82BC0">
        <w:t>Supplier</w:t>
      </w:r>
      <w:r>
        <w:t xml:space="preserve"> may withdraw a</w:t>
      </w:r>
      <w:r w:rsidR="001E2709">
        <w:t>n</w:t>
      </w:r>
      <w:r>
        <w:t xml:space="preserve"> </w:t>
      </w:r>
      <w:r w:rsidR="001E2709">
        <w:t xml:space="preserve">Approved </w:t>
      </w:r>
      <w:r>
        <w:t xml:space="preserve">Digital Engineering Service from the Service </w:t>
      </w:r>
      <w:r w:rsidR="00CF42EA">
        <w:t xml:space="preserve">Menu </w:t>
      </w:r>
      <w:r>
        <w:t xml:space="preserve">by providing to </w:t>
      </w:r>
      <w:proofErr w:type="spellStart"/>
      <w:r>
        <w:t>TfNSW</w:t>
      </w:r>
      <w:proofErr w:type="spellEnd"/>
      <w:r>
        <w:t xml:space="preserve"> at least</w:t>
      </w:r>
      <w:r w:rsidR="00CF42EA">
        <w:t xml:space="preserve"> 30 days’</w:t>
      </w:r>
      <w:r>
        <w:t xml:space="preserve"> </w:t>
      </w:r>
      <w:bookmarkStart w:id="47" w:name="_Hlk11649898"/>
      <w:r>
        <w:t>advance notice</w:t>
      </w:r>
      <w:bookmarkEnd w:id="47"/>
      <w:r>
        <w:t xml:space="preserve">.  For clarity, the </w:t>
      </w:r>
      <w:r w:rsidR="00D82BC0">
        <w:t>Supplier</w:t>
      </w:r>
      <w:r>
        <w:t>’s withdrawal of a</w:t>
      </w:r>
      <w:r w:rsidR="001E2709">
        <w:t>n Approved</w:t>
      </w:r>
      <w:r>
        <w:t xml:space="preserve"> Digital Engineering Service does not affect its obligation to provide such </w:t>
      </w:r>
      <w:r w:rsidR="001E2709">
        <w:t xml:space="preserve">Approved </w:t>
      </w:r>
      <w:r>
        <w:t xml:space="preserve">Digital Engineering Service to a Customer under a then-existing </w:t>
      </w:r>
      <w:r w:rsidR="00102F00">
        <w:t>Order</w:t>
      </w:r>
      <w:r>
        <w:t xml:space="preserve">. </w:t>
      </w:r>
    </w:p>
    <w:p w14:paraId="0B4A2E7D" w14:textId="1F857B0A" w:rsidR="00141391" w:rsidRDefault="00141391" w:rsidP="00141391">
      <w:pPr>
        <w:pStyle w:val="Heading1"/>
      </w:pPr>
      <w:r>
        <w:lastRenderedPageBreak/>
        <w:t>Pricing</w:t>
      </w:r>
    </w:p>
    <w:p w14:paraId="23F8EF9F" w14:textId="77777777" w:rsidR="00993D45" w:rsidRDefault="00993D45" w:rsidP="00D57AF4">
      <w:pPr>
        <w:pStyle w:val="Heading2"/>
      </w:pPr>
      <w:bookmarkStart w:id="48" w:name="_Toc15419238"/>
      <w:r>
        <w:t>Maximum prices are set out in this Head Agreement</w:t>
      </w:r>
      <w:bookmarkEnd w:id="48"/>
    </w:p>
    <w:p w14:paraId="1DFA603B" w14:textId="2B13C1DC" w:rsidR="00141391" w:rsidRDefault="00141391" w:rsidP="00D57AF4">
      <w:pPr>
        <w:pStyle w:val="Heading3"/>
      </w:pPr>
      <w:r>
        <w:t>T</w:t>
      </w:r>
      <w:r w:rsidR="00993D45">
        <w:t xml:space="preserve">he maximum </w:t>
      </w:r>
      <w:r w:rsidR="001B5B31">
        <w:t xml:space="preserve">Hourly and </w:t>
      </w:r>
      <w:r w:rsidR="005645D1">
        <w:t>D</w:t>
      </w:r>
      <w:r w:rsidR="00442A17">
        <w:t xml:space="preserve">aily </w:t>
      </w:r>
      <w:r w:rsidR="005645D1">
        <w:t>R</w:t>
      </w:r>
      <w:r w:rsidR="00442A17">
        <w:t>ates</w:t>
      </w:r>
      <w:r w:rsidR="00564BB3">
        <w:t xml:space="preserve"> </w:t>
      </w:r>
      <w:r w:rsidR="00564BB3" w:rsidRPr="00442A17">
        <w:t>which</w:t>
      </w:r>
      <w:r w:rsidR="00564BB3">
        <w:t xml:space="preserve"> the </w:t>
      </w:r>
      <w:r w:rsidR="00D82BC0">
        <w:t>Supplier</w:t>
      </w:r>
      <w:r w:rsidR="00564BB3">
        <w:t xml:space="preserve"> may charge </w:t>
      </w:r>
      <w:r w:rsidR="005205F0">
        <w:t>a Customer</w:t>
      </w:r>
      <w:r w:rsidR="00564BB3">
        <w:t xml:space="preserve"> are set out in </w:t>
      </w:r>
      <w:r w:rsidR="002B1B2C">
        <w:t xml:space="preserve">Australian dollars in </w:t>
      </w:r>
      <w:r w:rsidR="00564BB3">
        <w:t>the Price List</w:t>
      </w:r>
      <w:r w:rsidR="00345FC7">
        <w:t xml:space="preserve"> (excluding GST)</w:t>
      </w:r>
      <w:r w:rsidR="00564BB3">
        <w:t xml:space="preserve">.  </w:t>
      </w:r>
      <w:r>
        <w:t xml:space="preserve">  </w:t>
      </w:r>
    </w:p>
    <w:p w14:paraId="200D64F4" w14:textId="14066BCE" w:rsidR="00993D45" w:rsidRDefault="00141391" w:rsidP="00D57AF4">
      <w:pPr>
        <w:pStyle w:val="Heading3"/>
      </w:pPr>
      <w:r>
        <w:t>Subject to clause</w:t>
      </w:r>
      <w:r w:rsidR="00442A17">
        <w:t xml:space="preserve"> </w:t>
      </w:r>
      <w:r w:rsidR="00442A17">
        <w:fldChar w:fldCharType="begin"/>
      </w:r>
      <w:r w:rsidR="00442A17">
        <w:instrText xml:space="preserve"> REF _Ref16248770 \w \h </w:instrText>
      </w:r>
      <w:r w:rsidR="00442A17">
        <w:fldChar w:fldCharType="separate"/>
      </w:r>
      <w:r w:rsidR="00082E91">
        <w:t>5.4</w:t>
      </w:r>
      <w:r w:rsidR="00442A17">
        <w:fldChar w:fldCharType="end"/>
      </w:r>
      <w:r>
        <w:t>, t</w:t>
      </w:r>
      <w:r w:rsidR="00361AFC">
        <w:t xml:space="preserve">he Price List is valid for the Term of this Head Agreement, including any Renewal </w:t>
      </w:r>
      <w:r>
        <w:t>Period.</w:t>
      </w:r>
    </w:p>
    <w:p w14:paraId="7DD40F43" w14:textId="77777777" w:rsidR="009F7101" w:rsidRDefault="00141391" w:rsidP="00141391">
      <w:pPr>
        <w:pStyle w:val="Heading3"/>
      </w:pPr>
      <w:r>
        <w:t xml:space="preserve">The </w:t>
      </w:r>
      <w:r w:rsidR="00D82BC0">
        <w:t>Supplier</w:t>
      </w:r>
      <w:r>
        <w:t xml:space="preserve"> must not</w:t>
      </w:r>
      <w:r w:rsidR="009F7101">
        <w:t>:</w:t>
      </w:r>
    </w:p>
    <w:p w14:paraId="5E2283F5" w14:textId="07A60082" w:rsidR="009F7101" w:rsidRDefault="00141391" w:rsidP="009F7101">
      <w:pPr>
        <w:pStyle w:val="Heading4"/>
      </w:pPr>
      <w:proofErr w:type="gramStart"/>
      <w:r>
        <w:t>refuse</w:t>
      </w:r>
      <w:proofErr w:type="gramEnd"/>
      <w:r>
        <w:t xml:space="preserve"> to </w:t>
      </w:r>
      <w:r w:rsidRPr="001F6EA3">
        <w:t xml:space="preserve">supply </w:t>
      </w:r>
      <w:r>
        <w:t xml:space="preserve">to a Customer </w:t>
      </w:r>
      <w:r w:rsidRPr="001F6EA3">
        <w:t xml:space="preserve">any </w:t>
      </w:r>
      <w:r w:rsidR="001E2709">
        <w:t xml:space="preserve">Approved </w:t>
      </w:r>
      <w:r>
        <w:t>Digital Engineering Service</w:t>
      </w:r>
      <w:r w:rsidRPr="001F6EA3">
        <w:t xml:space="preserve"> at the </w:t>
      </w:r>
      <w:r w:rsidR="00554A0D">
        <w:t xml:space="preserve">Hourly or </w:t>
      </w:r>
      <w:r w:rsidR="002B1B2C">
        <w:t>Daily Rate</w:t>
      </w:r>
      <w:r w:rsidR="0002773B">
        <w:t>s</w:t>
      </w:r>
      <w:r w:rsidR="009F7101">
        <w:t>;</w:t>
      </w:r>
    </w:p>
    <w:p w14:paraId="6D2D304F" w14:textId="77777777" w:rsidR="009F7101" w:rsidRDefault="009F7101" w:rsidP="009F7101">
      <w:pPr>
        <w:pStyle w:val="Heading4"/>
      </w:pPr>
      <w:proofErr w:type="gramStart"/>
      <w:r>
        <w:t>charge</w:t>
      </w:r>
      <w:proofErr w:type="gramEnd"/>
      <w:r>
        <w:t xml:space="preserve"> or seek to charge the Customer:</w:t>
      </w:r>
    </w:p>
    <w:p w14:paraId="36E96571" w14:textId="00E72AC7" w:rsidR="009F7101" w:rsidRDefault="009F7101" w:rsidP="009F7101">
      <w:pPr>
        <w:pStyle w:val="Heading5"/>
      </w:pPr>
      <w:proofErr w:type="gramStart"/>
      <w:r>
        <w:t>more</w:t>
      </w:r>
      <w:proofErr w:type="gramEnd"/>
      <w:r>
        <w:t xml:space="preserve"> than 8 hours a day at an Hourly Rate (after which time a Daily Rate must be applied);</w:t>
      </w:r>
      <w:r w:rsidRPr="009F7101">
        <w:t xml:space="preserve"> </w:t>
      </w:r>
      <w:r>
        <w:t>or</w:t>
      </w:r>
    </w:p>
    <w:p w14:paraId="124013C0" w14:textId="3A61F09E" w:rsidR="00141391" w:rsidRDefault="009F7101" w:rsidP="00124CBF">
      <w:pPr>
        <w:pStyle w:val="Heading5"/>
      </w:pPr>
      <w:proofErr w:type="gramStart"/>
      <w:r>
        <w:t>an</w:t>
      </w:r>
      <w:proofErr w:type="gramEnd"/>
      <w:r>
        <w:t xml:space="preserve"> amount greater than that set out in the Price List</w:t>
      </w:r>
      <w:r w:rsidR="00141391">
        <w:t>.</w:t>
      </w:r>
    </w:p>
    <w:p w14:paraId="3CE6B557" w14:textId="7F3DBD12" w:rsidR="00564BB3" w:rsidRPr="00141391" w:rsidRDefault="00564BB3" w:rsidP="00D57AF4">
      <w:pPr>
        <w:pStyle w:val="Heading3"/>
      </w:pPr>
      <w:r>
        <w:t xml:space="preserve">Nothing </w:t>
      </w:r>
      <w:r w:rsidRPr="00564BB3">
        <w:t xml:space="preserve">in this Head Agreement restricts or prevents the </w:t>
      </w:r>
      <w:r w:rsidR="00D82BC0">
        <w:t>Supplier</w:t>
      </w:r>
      <w:r w:rsidRPr="00564BB3">
        <w:t xml:space="preserve"> and </w:t>
      </w:r>
      <w:r w:rsidR="005205F0">
        <w:t xml:space="preserve">a </w:t>
      </w:r>
      <w:r w:rsidR="005205F0" w:rsidRPr="00141391">
        <w:t>Customer</w:t>
      </w:r>
      <w:r w:rsidRPr="00141391">
        <w:t xml:space="preserve"> agreeing prices which are lower than the amounts stated in the Price List for any </w:t>
      </w:r>
      <w:r w:rsidR="001E2709">
        <w:t xml:space="preserve">Approved </w:t>
      </w:r>
      <w:r w:rsidR="002E7CC0" w:rsidRPr="00141391">
        <w:t>Digital Engineering Service</w:t>
      </w:r>
      <w:r w:rsidRPr="00141391">
        <w:t xml:space="preserve">.  </w:t>
      </w:r>
    </w:p>
    <w:p w14:paraId="575FBB78" w14:textId="7DA79C6A" w:rsidR="00991F9E" w:rsidRPr="00141391" w:rsidRDefault="00564BB3" w:rsidP="00D57AF4">
      <w:pPr>
        <w:pStyle w:val="Heading3"/>
      </w:pPr>
      <w:bookmarkStart w:id="49" w:name="_Hlk22721218"/>
      <w:r w:rsidRPr="00141391">
        <w:rPr>
          <w:spacing w:val="-1"/>
        </w:rPr>
        <w:t>The</w:t>
      </w:r>
      <w:r w:rsidRPr="00141391">
        <w:rPr>
          <w:spacing w:val="-5"/>
        </w:rPr>
        <w:t xml:space="preserve"> </w:t>
      </w:r>
      <w:r w:rsidR="00D82BC0">
        <w:rPr>
          <w:spacing w:val="-2"/>
        </w:rPr>
        <w:t>Supplier</w:t>
      </w:r>
      <w:r w:rsidRPr="00141391">
        <w:rPr>
          <w:spacing w:val="-12"/>
        </w:rPr>
        <w:t xml:space="preserve"> </w:t>
      </w:r>
      <w:r w:rsidRPr="00141391">
        <w:t>may</w:t>
      </w:r>
      <w:r w:rsidRPr="00141391">
        <w:rPr>
          <w:spacing w:val="-8"/>
        </w:rPr>
        <w:t xml:space="preserve"> unilaterally </w:t>
      </w:r>
      <w:r w:rsidRPr="00141391">
        <w:rPr>
          <w:spacing w:val="-1"/>
        </w:rPr>
        <w:t>reduce any</w:t>
      </w:r>
      <w:r w:rsidR="00554A0D">
        <w:rPr>
          <w:spacing w:val="-1"/>
        </w:rPr>
        <w:t xml:space="preserve"> Hourly or</w:t>
      </w:r>
      <w:r w:rsidRPr="00141391">
        <w:rPr>
          <w:spacing w:val="-1"/>
        </w:rPr>
        <w:t xml:space="preserve"> </w:t>
      </w:r>
      <w:r w:rsidR="002B1B2C">
        <w:rPr>
          <w:spacing w:val="-1"/>
        </w:rPr>
        <w:t>Daily Rate</w:t>
      </w:r>
      <w:r w:rsidR="003E3179">
        <w:rPr>
          <w:spacing w:val="-1"/>
        </w:rPr>
        <w:t xml:space="preserve"> </w:t>
      </w:r>
      <w:r w:rsidRPr="00141391">
        <w:rPr>
          <w:spacing w:val="-1"/>
        </w:rPr>
        <w:t xml:space="preserve">set out in the Price List by notifying </w:t>
      </w:r>
      <w:proofErr w:type="spellStart"/>
      <w:r w:rsidR="002E7CC0" w:rsidRPr="00141391">
        <w:rPr>
          <w:spacing w:val="-1"/>
        </w:rPr>
        <w:t>TfNSW</w:t>
      </w:r>
      <w:proofErr w:type="spellEnd"/>
      <w:r w:rsidRPr="00141391">
        <w:rPr>
          <w:spacing w:val="-1"/>
        </w:rPr>
        <w:t xml:space="preserve">.  </w:t>
      </w:r>
      <w:r w:rsidR="002B1B2C">
        <w:rPr>
          <w:spacing w:val="-1"/>
        </w:rPr>
        <w:t xml:space="preserve">Any such reductions will automatically take effect under any Customer Contract, but will not affect existing Orders. </w:t>
      </w:r>
    </w:p>
    <w:p w14:paraId="1058D625" w14:textId="70823A1A" w:rsidR="00BD0549" w:rsidRDefault="00442A17" w:rsidP="00442A17">
      <w:pPr>
        <w:pStyle w:val="Heading2"/>
      </w:pPr>
      <w:bookmarkStart w:id="50" w:name="_Ref22732661"/>
      <w:bookmarkStart w:id="51" w:name="_Ref15464994"/>
      <w:bookmarkEnd w:id="49"/>
      <w:r>
        <w:t>Fixed Charges</w:t>
      </w:r>
      <w:bookmarkEnd w:id="50"/>
    </w:p>
    <w:p w14:paraId="06285DF4" w14:textId="77777777" w:rsidR="00442A17" w:rsidRDefault="00442A17" w:rsidP="00442A17">
      <w:pPr>
        <w:pStyle w:val="Heading3"/>
        <w:numPr>
          <w:ilvl w:val="0"/>
          <w:numId w:val="0"/>
        </w:numPr>
        <w:ind w:left="1134"/>
      </w:pPr>
      <w:r>
        <w:t>If the Customer requires a single price under an Order (</w:t>
      </w:r>
      <w:r>
        <w:rPr>
          <w:b/>
        </w:rPr>
        <w:t>Fixed Charge</w:t>
      </w:r>
      <w:r>
        <w:t>), then:</w:t>
      </w:r>
    </w:p>
    <w:p w14:paraId="14F66228" w14:textId="58FFD5DF" w:rsidR="00442A17" w:rsidRDefault="00442A17" w:rsidP="00442A17">
      <w:pPr>
        <w:pStyle w:val="Heading3"/>
      </w:pPr>
      <w:r>
        <w:t xml:space="preserve">the Fixed Charge will be one amount specified in the Order payable by the Customer irrespective of volume or other usage metric and the </w:t>
      </w:r>
      <w:r w:rsidR="008F793F">
        <w:t xml:space="preserve">Hourly and </w:t>
      </w:r>
      <w:r w:rsidR="002B1B2C">
        <w:t>Daily Rate</w:t>
      </w:r>
      <w:r>
        <w:t xml:space="preserve">s will not apply; </w:t>
      </w:r>
    </w:p>
    <w:p w14:paraId="13BD46C0" w14:textId="60B74577" w:rsidR="00442A17" w:rsidRDefault="00442A17" w:rsidP="00442A17">
      <w:pPr>
        <w:pStyle w:val="Heading3"/>
      </w:pPr>
      <w:proofErr w:type="gramStart"/>
      <w:r>
        <w:t>notwithstanding</w:t>
      </w:r>
      <w:proofErr w:type="gramEnd"/>
      <w:r>
        <w:t xml:space="preserve"> the number of days and/or hours worked by the </w:t>
      </w:r>
      <w:r w:rsidR="00D82BC0">
        <w:t>Supplier</w:t>
      </w:r>
      <w:r>
        <w:t xml:space="preserve"> under or in connection with the relevant Order, the </w:t>
      </w:r>
      <w:r w:rsidR="00D82BC0">
        <w:t>Supplier</w:t>
      </w:r>
      <w:r>
        <w:t xml:space="preserve"> may only claim the Fixed Charge; and</w:t>
      </w:r>
    </w:p>
    <w:p w14:paraId="7BE89234" w14:textId="71F0D040" w:rsidR="00442A17" w:rsidRDefault="00442A17" w:rsidP="00442A17">
      <w:pPr>
        <w:pStyle w:val="Heading3"/>
      </w:pPr>
      <w:proofErr w:type="gramStart"/>
      <w:r>
        <w:t>the</w:t>
      </w:r>
      <w:proofErr w:type="gramEnd"/>
      <w:r>
        <w:t xml:space="preserve"> Order may set out milestones or deliverables which must be achieved before the </w:t>
      </w:r>
      <w:r w:rsidR="00D82BC0">
        <w:t>Supplier</w:t>
      </w:r>
      <w:r>
        <w:t xml:space="preserve"> is entitled to invoice for the Fixed Charge. </w:t>
      </w:r>
    </w:p>
    <w:p w14:paraId="320DFC32" w14:textId="4E64655A" w:rsidR="00442A17" w:rsidRDefault="00442A17" w:rsidP="00442A17">
      <w:pPr>
        <w:pStyle w:val="Heading2"/>
      </w:pPr>
      <w:bookmarkStart w:id="52" w:name="_Ref22732939"/>
      <w:r>
        <w:t>Target Budget Charges</w:t>
      </w:r>
      <w:bookmarkEnd w:id="52"/>
    </w:p>
    <w:p w14:paraId="143C1290" w14:textId="1D283748" w:rsidR="00442A17" w:rsidRDefault="00442A17" w:rsidP="00442A17">
      <w:pPr>
        <w:pStyle w:val="Heading3"/>
        <w:numPr>
          <w:ilvl w:val="0"/>
          <w:numId w:val="0"/>
        </w:numPr>
        <w:ind w:left="1134"/>
      </w:pPr>
      <w:r>
        <w:t>If the Customer requires that the amount payable under an Order be calculated by reference to a target maximum price (</w:t>
      </w:r>
      <w:r>
        <w:rPr>
          <w:b/>
        </w:rPr>
        <w:t>Target Budget</w:t>
      </w:r>
      <w:r>
        <w:t>), then:</w:t>
      </w:r>
    </w:p>
    <w:p w14:paraId="5FA0DA07" w14:textId="19F57FDD" w:rsidR="00442A17" w:rsidRDefault="00442A17" w:rsidP="00442A17">
      <w:pPr>
        <w:pStyle w:val="Heading3"/>
      </w:pPr>
      <w:r>
        <w:t xml:space="preserve">the amount payable by the Customer will be calculated by reference to </w:t>
      </w:r>
      <w:r w:rsidR="00554A0D">
        <w:t xml:space="preserve">Hourly and </w:t>
      </w:r>
      <w:r w:rsidR="002B1B2C">
        <w:t>Daily Rate</w:t>
      </w:r>
      <w:r>
        <w:t xml:space="preserve">s, except that </w:t>
      </w:r>
      <w:r w:rsidR="00A9280B">
        <w:t xml:space="preserve">the </w:t>
      </w:r>
      <w:r w:rsidR="00D82BC0">
        <w:t>Supplier</w:t>
      </w:r>
      <w:r>
        <w:t xml:space="preserve"> agrees to deliver the applicable </w:t>
      </w:r>
      <w:r w:rsidR="001E2709">
        <w:t xml:space="preserve">Approved </w:t>
      </w:r>
      <w:r>
        <w:t xml:space="preserve">Digital Engineering Services for a total amount that does not exceed the Target Budget unless prior written approval is obtained from the Customer; </w:t>
      </w:r>
    </w:p>
    <w:p w14:paraId="38D935D4" w14:textId="32AAE6E1" w:rsidR="00442A17" w:rsidRDefault="00442A17" w:rsidP="00442A17">
      <w:pPr>
        <w:pStyle w:val="Heading3"/>
      </w:pPr>
      <w:proofErr w:type="gramStart"/>
      <w:r>
        <w:t>notwithstanding</w:t>
      </w:r>
      <w:proofErr w:type="gramEnd"/>
      <w:r>
        <w:t xml:space="preserve"> the number of days and/or hours worked by the </w:t>
      </w:r>
      <w:r w:rsidR="00D82BC0">
        <w:t>Supplier</w:t>
      </w:r>
      <w:r>
        <w:t xml:space="preserve"> under or in connection with the relevant Order, the </w:t>
      </w:r>
      <w:r w:rsidR="00D82BC0">
        <w:t>Supplier</w:t>
      </w:r>
      <w:r>
        <w:t xml:space="preserve"> may only claim up to the Target Budget; </w:t>
      </w:r>
    </w:p>
    <w:p w14:paraId="31A20CAB" w14:textId="616811DD" w:rsidR="00442A17" w:rsidRDefault="00442A17" w:rsidP="00442A17">
      <w:pPr>
        <w:pStyle w:val="Heading3"/>
      </w:pPr>
      <w:proofErr w:type="gramStart"/>
      <w:r>
        <w:lastRenderedPageBreak/>
        <w:t>the</w:t>
      </w:r>
      <w:proofErr w:type="gramEnd"/>
      <w:r>
        <w:t xml:space="preserve"> </w:t>
      </w:r>
      <w:r w:rsidR="00D82BC0">
        <w:t>Supplier</w:t>
      </w:r>
      <w:r>
        <w:t xml:space="preserve"> must report to the Customer at a frequency to be agreed in the Order on progress against the Target Budget; and</w:t>
      </w:r>
    </w:p>
    <w:p w14:paraId="7FF2E672" w14:textId="429999E1" w:rsidR="00442A17" w:rsidRDefault="00442A17" w:rsidP="00442A17">
      <w:pPr>
        <w:pStyle w:val="Heading3"/>
      </w:pPr>
      <w:proofErr w:type="gramStart"/>
      <w:r>
        <w:t>the</w:t>
      </w:r>
      <w:proofErr w:type="gramEnd"/>
      <w:r>
        <w:t xml:space="preserve"> Order may set out milestones or deliverables which must be achieved before the </w:t>
      </w:r>
      <w:r w:rsidR="00D82BC0">
        <w:t>Supplier</w:t>
      </w:r>
      <w:r>
        <w:t xml:space="preserve"> is entitled to invoice for the Target Budget. </w:t>
      </w:r>
    </w:p>
    <w:p w14:paraId="20881129" w14:textId="6C1571E3" w:rsidR="00022061" w:rsidRPr="00552D3A" w:rsidRDefault="00682244" w:rsidP="00361AFC">
      <w:pPr>
        <w:pStyle w:val="Heading2"/>
      </w:pPr>
      <w:bookmarkStart w:id="53" w:name="_Ref16248770"/>
      <w:r>
        <w:t>Escalation</w:t>
      </w:r>
      <w:bookmarkEnd w:id="51"/>
      <w:bookmarkEnd w:id="53"/>
    </w:p>
    <w:p w14:paraId="6EA61CAF" w14:textId="44C185B1" w:rsidR="00552D3A" w:rsidRDefault="00141391" w:rsidP="00D57AF4">
      <w:pPr>
        <w:pStyle w:val="Heading3"/>
      </w:pPr>
      <w:r>
        <w:t>On and from the second anniversary of the Commencement Date and each subsequent anniversary, t</w:t>
      </w:r>
      <w:r w:rsidR="00ED196A">
        <w:t xml:space="preserve">he </w:t>
      </w:r>
      <w:r w:rsidR="00D82BC0">
        <w:t>Supplier</w:t>
      </w:r>
      <w:r w:rsidR="00ED196A">
        <w:t xml:space="preserve"> may vary the </w:t>
      </w:r>
      <w:r w:rsidR="00554A0D">
        <w:t xml:space="preserve">Hourly and </w:t>
      </w:r>
      <w:r w:rsidR="002B1B2C">
        <w:t>Daily Rate</w:t>
      </w:r>
      <w:r w:rsidR="00442A17">
        <w:t xml:space="preserve">s in the </w:t>
      </w:r>
      <w:r w:rsidR="00ED196A">
        <w:t>Price List through the appl</w:t>
      </w:r>
      <w:r>
        <w:t xml:space="preserve">ication of </w:t>
      </w:r>
      <w:r w:rsidR="00442A17">
        <w:t>CPI</w:t>
      </w:r>
      <w:r>
        <w:t>.</w:t>
      </w:r>
    </w:p>
    <w:p w14:paraId="4A025282" w14:textId="47AA1C68" w:rsidR="00141391" w:rsidRDefault="00141391" w:rsidP="00D57AF4">
      <w:pPr>
        <w:pStyle w:val="Heading3"/>
      </w:pPr>
      <w:r>
        <w:t xml:space="preserve">The </w:t>
      </w:r>
      <w:r w:rsidR="00D82BC0">
        <w:t>Supplier</w:t>
      </w:r>
      <w:r>
        <w:t xml:space="preserve"> must notify </w:t>
      </w:r>
      <w:proofErr w:type="spellStart"/>
      <w:r>
        <w:t>TfNSW</w:t>
      </w:r>
      <w:proofErr w:type="spellEnd"/>
      <w:r>
        <w:t xml:space="preserve"> at lea</w:t>
      </w:r>
      <w:r w:rsidRPr="00704424">
        <w:t>st 90 days</w:t>
      </w:r>
      <w:r>
        <w:t xml:space="preserve"> prior to the relevant anniversary date if it wishes to apply </w:t>
      </w:r>
      <w:r w:rsidR="00442A17">
        <w:t>CPI</w:t>
      </w:r>
      <w:r>
        <w:t xml:space="preserve"> in accordance with this clause </w:t>
      </w:r>
      <w:r>
        <w:fldChar w:fldCharType="begin"/>
      </w:r>
      <w:r>
        <w:instrText xml:space="preserve"> REF _Ref16248770 \w \h </w:instrText>
      </w:r>
      <w:r>
        <w:fldChar w:fldCharType="separate"/>
      </w:r>
      <w:r w:rsidR="00082E91">
        <w:t>5.4</w:t>
      </w:r>
      <w:r>
        <w:fldChar w:fldCharType="end"/>
      </w:r>
      <w:r w:rsidR="00442A17">
        <w:t xml:space="preserve"> and of the impact on the </w:t>
      </w:r>
      <w:r w:rsidR="00554A0D">
        <w:t xml:space="preserve">Hourly and </w:t>
      </w:r>
      <w:r w:rsidR="002B1B2C">
        <w:t>Daily Rate</w:t>
      </w:r>
      <w:r w:rsidR="00442A17">
        <w:t>s that would result</w:t>
      </w:r>
      <w:r>
        <w:t>.</w:t>
      </w:r>
    </w:p>
    <w:p w14:paraId="7C48502E" w14:textId="64FE740A" w:rsidR="00442A17" w:rsidRDefault="00442A17" w:rsidP="00442A17">
      <w:pPr>
        <w:pStyle w:val="Heading3"/>
      </w:pPr>
      <w:r>
        <w:t>F</w:t>
      </w:r>
      <w:r w:rsidRPr="00B21502">
        <w:t xml:space="preserve">ailure to provide notice </w:t>
      </w:r>
      <w:r>
        <w:t>prior to</w:t>
      </w:r>
      <w:r w:rsidRPr="00B21502">
        <w:t xml:space="preserve"> a Commencement Date ann</w:t>
      </w:r>
      <w:r>
        <w:t xml:space="preserve">iversary in accordance with paragraph (b) will result in no adjustment to the </w:t>
      </w:r>
      <w:r w:rsidR="00554A0D">
        <w:t xml:space="preserve">Hourly or </w:t>
      </w:r>
      <w:r w:rsidR="002B1B2C">
        <w:t>Daily Rate</w:t>
      </w:r>
      <w:r>
        <w:t xml:space="preserve">s for the following year. </w:t>
      </w:r>
    </w:p>
    <w:p w14:paraId="656C059B" w14:textId="57B27DCD" w:rsidR="00442A17" w:rsidRDefault="00442A17" w:rsidP="00442A17">
      <w:pPr>
        <w:pStyle w:val="Heading2"/>
      </w:pPr>
      <w:bookmarkStart w:id="54" w:name="_Toc13821330"/>
      <w:bookmarkStart w:id="55" w:name="_Ref15377365"/>
      <w:bookmarkStart w:id="56" w:name="_Ref15378128"/>
      <w:bookmarkStart w:id="57" w:name="_Ref22733499"/>
      <w:bookmarkStart w:id="58" w:name="_Ref22733833"/>
      <w:r>
        <w:t>Reimbursable Expenses</w:t>
      </w:r>
      <w:bookmarkEnd w:id="54"/>
      <w:bookmarkEnd w:id="55"/>
      <w:bookmarkEnd w:id="56"/>
      <w:bookmarkEnd w:id="57"/>
      <w:bookmarkEnd w:id="58"/>
      <w:r>
        <w:t xml:space="preserve"> </w:t>
      </w:r>
    </w:p>
    <w:p w14:paraId="7C1FFDDF" w14:textId="33081AC3" w:rsidR="00442A17" w:rsidRPr="006530BB" w:rsidRDefault="00442A17" w:rsidP="00442A17">
      <w:pPr>
        <w:pStyle w:val="Heading3"/>
      </w:pPr>
      <w:r>
        <w:rPr>
          <w:b/>
        </w:rPr>
        <w:t>Reimbursable Expense</w:t>
      </w:r>
      <w:r w:rsidRPr="006530BB">
        <w:t xml:space="preserve"> means a</w:t>
      </w:r>
      <w:r w:rsidR="00CF42EA">
        <w:t xml:space="preserve">ny interstate travel and accommodation expenses </w:t>
      </w:r>
      <w:r w:rsidRPr="006530BB">
        <w:t xml:space="preserve">for which an invoice is received by the </w:t>
      </w:r>
      <w:r w:rsidR="00D82BC0">
        <w:t>Supplier</w:t>
      </w:r>
      <w:r w:rsidRPr="006530BB">
        <w:t xml:space="preserve"> and either:</w:t>
      </w:r>
    </w:p>
    <w:p w14:paraId="725B49CC" w14:textId="77777777" w:rsidR="00442A17" w:rsidRPr="006530BB" w:rsidRDefault="00442A17" w:rsidP="00442A17">
      <w:pPr>
        <w:pStyle w:val="Heading4"/>
      </w:pPr>
      <w:proofErr w:type="gramStart"/>
      <w:r w:rsidRPr="006530BB">
        <w:t>passed</w:t>
      </w:r>
      <w:proofErr w:type="gramEnd"/>
      <w:r w:rsidRPr="006530BB">
        <w:t xml:space="preserve"> through to </w:t>
      </w:r>
      <w:r>
        <w:t>the Customer</w:t>
      </w:r>
      <w:r w:rsidRPr="006530BB">
        <w:t xml:space="preserve"> for direct payment; or</w:t>
      </w:r>
    </w:p>
    <w:p w14:paraId="332B05A1" w14:textId="58F783EE" w:rsidR="00442A17" w:rsidRPr="006530BB" w:rsidRDefault="00442A17" w:rsidP="00442A17">
      <w:pPr>
        <w:pStyle w:val="Heading4"/>
      </w:pPr>
      <w:proofErr w:type="gramStart"/>
      <w:r w:rsidRPr="006530BB">
        <w:t>paid</w:t>
      </w:r>
      <w:proofErr w:type="gramEnd"/>
      <w:r w:rsidRPr="006530BB">
        <w:t xml:space="preserve"> by the </w:t>
      </w:r>
      <w:r w:rsidR="00D82BC0">
        <w:t>Supplier</w:t>
      </w:r>
      <w:r>
        <w:t xml:space="preserve"> </w:t>
      </w:r>
      <w:r w:rsidRPr="006530BB">
        <w:t xml:space="preserve">and then passed through to </w:t>
      </w:r>
      <w:r>
        <w:t>the Customer</w:t>
      </w:r>
      <w:r w:rsidRPr="006530BB">
        <w:t xml:space="preserve"> for reimbursement.</w:t>
      </w:r>
    </w:p>
    <w:p w14:paraId="1483C855" w14:textId="2A8D1A2D" w:rsidR="00442A17" w:rsidRPr="006530BB" w:rsidRDefault="00442A17" w:rsidP="00442A17">
      <w:pPr>
        <w:pStyle w:val="Heading3"/>
      </w:pPr>
      <w:r w:rsidRPr="006530BB">
        <w:t xml:space="preserve">No mark up, administrative overhead, allocation of overhead, margin or handling charge is to be applied by the </w:t>
      </w:r>
      <w:r w:rsidR="00D82BC0">
        <w:t>Supplier</w:t>
      </w:r>
      <w:r w:rsidRPr="006530BB">
        <w:t xml:space="preserve"> to the </w:t>
      </w:r>
      <w:r>
        <w:t>Reimbursable Expense</w:t>
      </w:r>
      <w:r w:rsidRPr="006530BB">
        <w:t xml:space="preserve">.  </w:t>
      </w:r>
    </w:p>
    <w:p w14:paraId="1EA92C5D" w14:textId="02320C97" w:rsidR="00442A17" w:rsidRPr="006530BB" w:rsidRDefault="00442A17" w:rsidP="00442A17">
      <w:pPr>
        <w:pStyle w:val="Heading3"/>
      </w:pPr>
      <w:r w:rsidRPr="006530BB">
        <w:t xml:space="preserve">All </w:t>
      </w:r>
      <w:r>
        <w:t>Reimbursable Expense</w:t>
      </w:r>
      <w:r w:rsidR="004202A4">
        <w:t>s</w:t>
      </w:r>
      <w:r w:rsidRPr="006530BB">
        <w:t xml:space="preserve"> must be:</w:t>
      </w:r>
    </w:p>
    <w:p w14:paraId="5B17AA33" w14:textId="77777777" w:rsidR="00442A17" w:rsidRDefault="00442A17" w:rsidP="00442A17">
      <w:pPr>
        <w:pStyle w:val="Heading4"/>
      </w:pPr>
      <w:bookmarkStart w:id="59" w:name="_Ref15378141"/>
      <w:proofErr w:type="gramStart"/>
      <w:r>
        <w:t>set</w:t>
      </w:r>
      <w:proofErr w:type="gramEnd"/>
      <w:r>
        <w:t xml:space="preserve"> out in an Order as a Reimbursable Expense;</w:t>
      </w:r>
      <w:bookmarkEnd w:id="59"/>
      <w:r>
        <w:t xml:space="preserve"> </w:t>
      </w:r>
    </w:p>
    <w:p w14:paraId="35E94C22" w14:textId="77777777" w:rsidR="00442A17" w:rsidRPr="006530BB" w:rsidRDefault="00442A17" w:rsidP="00442A17">
      <w:pPr>
        <w:pStyle w:val="Heading4"/>
      </w:pPr>
      <w:proofErr w:type="gramStart"/>
      <w:r>
        <w:t>substantiated</w:t>
      </w:r>
      <w:proofErr w:type="gramEnd"/>
      <w:r>
        <w:t xml:space="preserve"> with appropriate supporting documentation and receipt; </w:t>
      </w:r>
      <w:r w:rsidRPr="006530BB">
        <w:t xml:space="preserve">and </w:t>
      </w:r>
    </w:p>
    <w:p w14:paraId="521A7384" w14:textId="77777777" w:rsidR="00442A17" w:rsidRPr="006530BB" w:rsidRDefault="00442A17" w:rsidP="00442A17">
      <w:pPr>
        <w:pStyle w:val="Heading4"/>
      </w:pPr>
      <w:proofErr w:type="gramStart"/>
      <w:r w:rsidRPr="006530BB">
        <w:t>approved</w:t>
      </w:r>
      <w:proofErr w:type="gramEnd"/>
      <w:r w:rsidRPr="006530BB">
        <w:t xml:space="preserve"> </w:t>
      </w:r>
      <w:r>
        <w:t xml:space="preserve">(including as to amount) </w:t>
      </w:r>
      <w:r w:rsidRPr="006530BB">
        <w:t xml:space="preserve">by </w:t>
      </w:r>
      <w:r>
        <w:t>the Customer</w:t>
      </w:r>
      <w:r w:rsidRPr="006530BB">
        <w:t xml:space="preserve"> in writing prior to being incurred.</w:t>
      </w:r>
    </w:p>
    <w:p w14:paraId="180BC260" w14:textId="53413910" w:rsidR="00442A17" w:rsidRDefault="00442A17" w:rsidP="005D6550">
      <w:pPr>
        <w:pStyle w:val="Heading3"/>
      </w:pPr>
      <w:r w:rsidRPr="006530BB">
        <w:t xml:space="preserve">Unless </w:t>
      </w:r>
      <w:r>
        <w:t>d</w:t>
      </w:r>
      <w:r w:rsidRPr="006530BB">
        <w:t xml:space="preserve">irected by </w:t>
      </w:r>
      <w:r>
        <w:t>the Customer</w:t>
      </w:r>
      <w:r w:rsidRPr="006530BB">
        <w:t xml:space="preserve"> otherwise, the </w:t>
      </w:r>
      <w:r w:rsidR="00D82BC0">
        <w:t>Supplier</w:t>
      </w:r>
      <w:r>
        <w:t xml:space="preserve"> </w:t>
      </w:r>
      <w:r w:rsidRPr="006530BB">
        <w:t>is responsible for organising and booking travel, accommodation and any other travel-related expenses.</w:t>
      </w:r>
    </w:p>
    <w:p w14:paraId="07FE6030" w14:textId="378F5D13" w:rsidR="005D6550" w:rsidRPr="00D151AD" w:rsidRDefault="005D6550" w:rsidP="005D6550">
      <w:pPr>
        <w:pStyle w:val="Heading3"/>
      </w:pPr>
      <w:r>
        <w:t xml:space="preserve">Except as set out in this clause </w:t>
      </w:r>
      <w:r w:rsidR="007843CC">
        <w:fldChar w:fldCharType="begin"/>
      </w:r>
      <w:r w:rsidR="007843CC">
        <w:instrText xml:space="preserve"> REF _Ref22733833 \w \h </w:instrText>
      </w:r>
      <w:r w:rsidR="007843CC">
        <w:fldChar w:fldCharType="separate"/>
      </w:r>
      <w:r w:rsidR="00082E91">
        <w:t>5.5</w:t>
      </w:r>
      <w:r w:rsidR="007843CC">
        <w:fldChar w:fldCharType="end"/>
      </w:r>
      <w:r>
        <w:t xml:space="preserve">, all other costs and expenses incurred by the </w:t>
      </w:r>
      <w:r w:rsidR="00D82BC0">
        <w:t>Supplier</w:t>
      </w:r>
      <w:r>
        <w:t xml:space="preserve"> in performing the </w:t>
      </w:r>
      <w:r w:rsidR="001E2709">
        <w:t xml:space="preserve">Approved </w:t>
      </w:r>
      <w:r>
        <w:t xml:space="preserve">Digital Engineering Services are to be borne by the </w:t>
      </w:r>
      <w:r w:rsidR="00D82BC0">
        <w:t>Supplier</w:t>
      </w:r>
      <w:r>
        <w:t xml:space="preserve">. </w:t>
      </w:r>
    </w:p>
    <w:p w14:paraId="78D773C9" w14:textId="77777777" w:rsidR="004D3880" w:rsidRDefault="004D3880" w:rsidP="00965C2F">
      <w:pPr>
        <w:pStyle w:val="Heading9"/>
        <w:tabs>
          <w:tab w:val="clear" w:pos="567"/>
          <w:tab w:val="num" w:pos="709"/>
        </w:tabs>
        <w:ind w:left="709"/>
      </w:pPr>
      <w:bookmarkStart w:id="60" w:name="_Toc15419239"/>
      <w:r>
        <w:lastRenderedPageBreak/>
        <w:t>Governance under this Head Agreement</w:t>
      </w:r>
      <w:bookmarkEnd w:id="60"/>
    </w:p>
    <w:p w14:paraId="7C81D356" w14:textId="73092675" w:rsidR="004D3880" w:rsidRDefault="004D3880" w:rsidP="00A065C0">
      <w:pPr>
        <w:pStyle w:val="Heading1"/>
      </w:pPr>
      <w:bookmarkStart w:id="61" w:name="_Ref11442196"/>
      <w:bookmarkStart w:id="62" w:name="_Toc15419240"/>
      <w:r>
        <w:t xml:space="preserve">Reporting </w:t>
      </w:r>
      <w:bookmarkEnd w:id="61"/>
      <w:bookmarkEnd w:id="62"/>
    </w:p>
    <w:p w14:paraId="1B958B0C" w14:textId="4A0DBE60" w:rsidR="004D3880" w:rsidRDefault="004D3880" w:rsidP="00A065C0">
      <w:pPr>
        <w:pStyle w:val="Heading2"/>
      </w:pPr>
      <w:bookmarkStart w:id="63" w:name="_Ref9949202"/>
      <w:bookmarkStart w:id="64" w:name="_Ref10031629"/>
      <w:bookmarkStart w:id="65" w:name="_Ref10033204"/>
      <w:bookmarkStart w:id="66" w:name="_Ref11491171"/>
      <w:bookmarkStart w:id="67" w:name="_Toc15419241"/>
      <w:r>
        <w:t>Reporting</w:t>
      </w:r>
      <w:bookmarkEnd w:id="63"/>
      <w:bookmarkEnd w:id="64"/>
      <w:bookmarkEnd w:id="65"/>
      <w:r>
        <w:t xml:space="preserve"> </w:t>
      </w:r>
      <w:bookmarkEnd w:id="66"/>
      <w:bookmarkEnd w:id="67"/>
    </w:p>
    <w:p w14:paraId="53040820" w14:textId="7BBFE976" w:rsidR="004D3880" w:rsidRPr="00B24906" w:rsidRDefault="004D3880" w:rsidP="00A065C0">
      <w:pPr>
        <w:pStyle w:val="Heading3"/>
      </w:pPr>
      <w:r>
        <w:t xml:space="preserve">Within 14 days of the end of </w:t>
      </w:r>
      <w:r w:rsidR="005D6550">
        <w:t>each</w:t>
      </w:r>
      <w:r w:rsidR="00AD36DE">
        <w:t xml:space="preserve"> 6</w:t>
      </w:r>
      <w:r w:rsidR="007843CC">
        <w:t>-</w:t>
      </w:r>
      <w:r w:rsidR="00AD36DE">
        <w:t>month</w:t>
      </w:r>
      <w:r w:rsidR="005D6550">
        <w:t xml:space="preserve"> period following the Commencement Date, </w:t>
      </w:r>
      <w:r>
        <w:t xml:space="preserve">the </w:t>
      </w:r>
      <w:r w:rsidR="00D82BC0">
        <w:t>Supplier</w:t>
      </w:r>
      <w:r>
        <w:t xml:space="preserve"> must provide to </w:t>
      </w:r>
      <w:proofErr w:type="spellStart"/>
      <w:r w:rsidR="002E7CC0">
        <w:t>TfNSW</w:t>
      </w:r>
      <w:proofErr w:type="spellEnd"/>
      <w:r>
        <w:rPr>
          <w:spacing w:val="-7"/>
        </w:rPr>
        <w:t xml:space="preserve"> </w:t>
      </w:r>
      <w:r>
        <w:t>a</w:t>
      </w:r>
      <w:r>
        <w:rPr>
          <w:spacing w:val="-10"/>
        </w:rPr>
        <w:t xml:space="preserve"> </w:t>
      </w:r>
      <w:r>
        <w:t>report</w:t>
      </w:r>
      <w:r>
        <w:rPr>
          <w:spacing w:val="-7"/>
        </w:rPr>
        <w:t xml:space="preserve"> </w:t>
      </w:r>
      <w:r w:rsidR="00A065C0">
        <w:rPr>
          <w:spacing w:val="-3"/>
        </w:rPr>
        <w:t xml:space="preserve">for that </w:t>
      </w:r>
      <w:r w:rsidR="00AD36DE">
        <w:rPr>
          <w:spacing w:val="-3"/>
        </w:rPr>
        <w:t>6</w:t>
      </w:r>
      <w:r w:rsidR="007843CC">
        <w:rPr>
          <w:spacing w:val="-3"/>
        </w:rPr>
        <w:t>-</w:t>
      </w:r>
      <w:r w:rsidR="00AD36DE">
        <w:rPr>
          <w:spacing w:val="-3"/>
        </w:rPr>
        <w:t>month period</w:t>
      </w:r>
      <w:r w:rsidR="00A065C0">
        <w:rPr>
          <w:spacing w:val="-3"/>
        </w:rPr>
        <w:t xml:space="preserve"> which includes the following information</w:t>
      </w:r>
      <w:r>
        <w:t>:</w:t>
      </w:r>
    </w:p>
    <w:p w14:paraId="5CB89960" w14:textId="6728E463" w:rsidR="00617458" w:rsidRPr="00617458" w:rsidRDefault="002B1B2C" w:rsidP="00A065C0">
      <w:pPr>
        <w:pStyle w:val="Heading4"/>
      </w:pPr>
      <w:proofErr w:type="gramStart"/>
      <w:r>
        <w:t>a</w:t>
      </w:r>
      <w:proofErr w:type="gramEnd"/>
      <w:r>
        <w:t xml:space="preserve"> list </w:t>
      </w:r>
      <w:r w:rsidR="00617458">
        <w:t xml:space="preserve">of new Customer Contracts </w:t>
      </w:r>
      <w:r w:rsidR="002049D7">
        <w:t xml:space="preserve">and Orders </w:t>
      </w:r>
      <w:r w:rsidR="00617458">
        <w:t xml:space="preserve">entered into over the preceding </w:t>
      </w:r>
      <w:r w:rsidR="00AD36DE">
        <w:t>6 months</w:t>
      </w:r>
      <w:r>
        <w:t xml:space="preserve"> </w:t>
      </w:r>
      <w:r w:rsidR="00C021BD">
        <w:t xml:space="preserve">(including as a result of a competitive procurement process) </w:t>
      </w:r>
      <w:r>
        <w:t>including details of the Approved Digital Engineering Services supplied</w:t>
      </w:r>
      <w:r w:rsidR="00617458">
        <w:t>;</w:t>
      </w:r>
    </w:p>
    <w:p w14:paraId="30E0EB57" w14:textId="410AA27F" w:rsidR="00E74768" w:rsidRPr="008F793F" w:rsidRDefault="00E74768" w:rsidP="00A065C0">
      <w:pPr>
        <w:pStyle w:val="Heading4"/>
        <w:rPr>
          <w:rFonts w:cs="Arial"/>
        </w:rPr>
      </w:pPr>
      <w:proofErr w:type="gramStart"/>
      <w:r w:rsidRPr="00102F00">
        <w:rPr>
          <w:rFonts w:cs="Arial"/>
        </w:rPr>
        <w:t>total</w:t>
      </w:r>
      <w:proofErr w:type="gramEnd"/>
      <w:r w:rsidRPr="00102F00">
        <w:rPr>
          <w:rFonts w:cs="Arial"/>
        </w:rPr>
        <w:t xml:space="preserve"> number </w:t>
      </w:r>
      <w:r w:rsidR="00811DDE" w:rsidRPr="00102F00">
        <w:rPr>
          <w:rFonts w:cs="Arial"/>
        </w:rPr>
        <w:t xml:space="preserve">and </w:t>
      </w:r>
      <w:r w:rsidR="002049D7" w:rsidRPr="00102F00">
        <w:rPr>
          <w:rFonts w:cs="Arial"/>
        </w:rPr>
        <w:t xml:space="preserve">details of any prospective </w:t>
      </w:r>
      <w:r w:rsidRPr="00102F00">
        <w:rPr>
          <w:rFonts w:cs="Arial"/>
        </w:rPr>
        <w:t>Customer Contracts</w:t>
      </w:r>
      <w:r w:rsidR="002049D7" w:rsidRPr="00102F00">
        <w:rPr>
          <w:rFonts w:cs="Arial"/>
        </w:rPr>
        <w:t xml:space="preserve"> and Order</w:t>
      </w:r>
      <w:r w:rsidR="00EC7126" w:rsidRPr="00102F00">
        <w:rPr>
          <w:rFonts w:cs="Arial"/>
        </w:rPr>
        <w:t>s</w:t>
      </w:r>
      <w:r w:rsidR="002049D7" w:rsidRPr="00102F00">
        <w:rPr>
          <w:rFonts w:cs="Arial"/>
        </w:rPr>
        <w:t xml:space="preserve"> that the </w:t>
      </w:r>
      <w:r w:rsidR="00D82BC0" w:rsidRPr="007C739F">
        <w:rPr>
          <w:rFonts w:cs="Arial"/>
        </w:rPr>
        <w:t>Supplier</w:t>
      </w:r>
      <w:r w:rsidR="002049D7" w:rsidRPr="007C739F">
        <w:rPr>
          <w:rFonts w:cs="Arial"/>
        </w:rPr>
        <w:t xml:space="preserve"> is currently negotiating or otherwise participating in a procurement </w:t>
      </w:r>
      <w:r w:rsidR="001E2709" w:rsidRPr="00871C4E">
        <w:rPr>
          <w:rFonts w:cs="Arial"/>
        </w:rPr>
        <w:t>process for</w:t>
      </w:r>
      <w:r w:rsidR="0099461E" w:rsidRPr="008F793F">
        <w:rPr>
          <w:rFonts w:cs="Arial"/>
        </w:rPr>
        <w:t>;</w:t>
      </w:r>
    </w:p>
    <w:p w14:paraId="6F4C4443" w14:textId="5BE3C343" w:rsidR="00102F00" w:rsidRDefault="004D3880" w:rsidP="00102F00">
      <w:pPr>
        <w:pStyle w:val="Heading4"/>
      </w:pPr>
      <w:r w:rsidRPr="003C0DC4">
        <w:rPr>
          <w:rFonts w:cs="Arial"/>
          <w:spacing w:val="-1"/>
        </w:rPr>
        <w:t>the</w:t>
      </w:r>
      <w:r w:rsidRPr="003C0DC4">
        <w:rPr>
          <w:rFonts w:cs="Arial"/>
          <w:spacing w:val="-9"/>
        </w:rPr>
        <w:t xml:space="preserve"> </w:t>
      </w:r>
      <w:r w:rsidR="002B1B2C" w:rsidRPr="003C0DC4">
        <w:rPr>
          <w:rFonts w:cs="Arial"/>
          <w:spacing w:val="-9"/>
        </w:rPr>
        <w:t xml:space="preserve">prices and </w:t>
      </w:r>
      <w:r w:rsidRPr="003C0DC4">
        <w:rPr>
          <w:rFonts w:cs="Arial"/>
        </w:rPr>
        <w:t>total</w:t>
      </w:r>
      <w:r w:rsidRPr="009F7101">
        <w:rPr>
          <w:rFonts w:cs="Arial"/>
          <w:spacing w:val="-9"/>
        </w:rPr>
        <w:t xml:space="preserve"> </w:t>
      </w:r>
      <w:r w:rsidR="00861B32" w:rsidRPr="009F7101">
        <w:rPr>
          <w:rFonts w:cs="Arial"/>
          <w:spacing w:val="-9"/>
        </w:rPr>
        <w:t xml:space="preserve">amounts paid by each Customer to the </w:t>
      </w:r>
      <w:r w:rsidR="00D82BC0" w:rsidRPr="009F7101">
        <w:rPr>
          <w:rFonts w:cs="Arial"/>
          <w:spacing w:val="-9"/>
        </w:rPr>
        <w:t>Supplier</w:t>
      </w:r>
      <w:r w:rsidR="00861B32" w:rsidRPr="009F7101">
        <w:rPr>
          <w:rFonts w:cs="Arial"/>
          <w:spacing w:val="-9"/>
        </w:rPr>
        <w:t xml:space="preserve"> under Customer Contracts</w:t>
      </w:r>
      <w:r w:rsidR="00C021BD" w:rsidRPr="009F7101">
        <w:rPr>
          <w:rFonts w:cs="Arial"/>
          <w:spacing w:val="-9"/>
        </w:rPr>
        <w:t>, tracked against time and usage, including any discounts, credits, rebates and other benefits provided</w:t>
      </w:r>
      <w:r w:rsidRPr="00671AF3">
        <w:rPr>
          <w:rFonts w:cs="Arial"/>
        </w:rPr>
        <w:t>;</w:t>
      </w:r>
      <w:r w:rsidR="00102F00" w:rsidRPr="00102F00">
        <w:t xml:space="preserve"> </w:t>
      </w:r>
    </w:p>
    <w:p w14:paraId="0DC7C72B" w14:textId="6B09FB03" w:rsidR="00F16FB7" w:rsidRDefault="00F16FB7" w:rsidP="00A065C0">
      <w:pPr>
        <w:pStyle w:val="Heading4"/>
      </w:pPr>
      <w:r w:rsidRPr="00AE4001">
        <w:t xml:space="preserve">the details of any </w:t>
      </w:r>
      <w:r w:rsidR="001E2709">
        <w:t xml:space="preserve">Approved </w:t>
      </w:r>
      <w:r w:rsidR="002E7CC0">
        <w:t>Digital Engineering Service</w:t>
      </w:r>
      <w:r w:rsidRPr="00AE4001">
        <w:t xml:space="preserve">s provided by the </w:t>
      </w:r>
      <w:r w:rsidR="00D82BC0">
        <w:t>Supplier</w:t>
      </w:r>
      <w:r w:rsidRPr="00AE4001">
        <w:t xml:space="preserve"> to </w:t>
      </w:r>
      <w:r w:rsidR="00AE4001">
        <w:t xml:space="preserve">individuals </w:t>
      </w:r>
      <w:r w:rsidR="00861B32">
        <w:t xml:space="preserve">who used an email address with </w:t>
      </w:r>
      <w:r w:rsidR="00AE4001">
        <w:t>an</w:t>
      </w:r>
      <w:r w:rsidR="00861B32">
        <w:t xml:space="preserve"> email domain that ends in</w:t>
      </w:r>
      <w:r w:rsidR="00AE4001">
        <w:t xml:space="preserve"> </w:t>
      </w:r>
      <w:r w:rsidR="003467D1">
        <w:t>“</w:t>
      </w:r>
      <w:r w:rsidR="00AE4001">
        <w:t>nsw.gov.au</w:t>
      </w:r>
      <w:r w:rsidR="003467D1">
        <w:t>”</w:t>
      </w:r>
      <w:r w:rsidR="00AE4001">
        <w:t xml:space="preserve"> (or </w:t>
      </w:r>
      <w:r w:rsidR="00861B32">
        <w:t xml:space="preserve">such </w:t>
      </w:r>
      <w:r w:rsidR="00AE4001">
        <w:t xml:space="preserve">other NSW Government email domains, notified by </w:t>
      </w:r>
      <w:proofErr w:type="spellStart"/>
      <w:r w:rsidR="002E7CC0">
        <w:t>TfNSW</w:t>
      </w:r>
      <w:proofErr w:type="spellEnd"/>
      <w:r w:rsidR="00AE4001">
        <w:t>)</w:t>
      </w:r>
      <w:r w:rsidR="00861B32">
        <w:t xml:space="preserve"> to purchase the relevant </w:t>
      </w:r>
      <w:r w:rsidR="001E2709">
        <w:t xml:space="preserve">Approved </w:t>
      </w:r>
      <w:r w:rsidR="002E7CC0">
        <w:t>Digital Engineering Service</w:t>
      </w:r>
      <w:r w:rsidR="00861B32">
        <w:t>s,</w:t>
      </w:r>
      <w:r w:rsidR="00AE4001">
        <w:t xml:space="preserve"> where no Customer Contract is in place with that </w:t>
      </w:r>
      <w:r w:rsidR="004202A4">
        <w:t>Eligible Customer</w:t>
      </w:r>
      <w:r w:rsidR="00C021BD">
        <w:t xml:space="preserve"> under the Scheme</w:t>
      </w:r>
      <w:r w:rsidR="00361441">
        <w:t>, or that relevant email address is not authorised under the relevant Customer Contract Details</w:t>
      </w:r>
      <w:r w:rsidR="00AE4001">
        <w:t>;</w:t>
      </w:r>
    </w:p>
    <w:p w14:paraId="117FDE4D" w14:textId="38D27F62" w:rsidR="00F16FB7" w:rsidRDefault="00AE4001" w:rsidP="00A065C0">
      <w:pPr>
        <w:pStyle w:val="Heading4"/>
      </w:pPr>
      <w:proofErr w:type="gramStart"/>
      <w:r>
        <w:t>details</w:t>
      </w:r>
      <w:proofErr w:type="gramEnd"/>
      <w:r>
        <w:t xml:space="preserve"> of any </w:t>
      </w:r>
      <w:r w:rsidR="00C021BD">
        <w:t xml:space="preserve">issues or </w:t>
      </w:r>
      <w:r>
        <w:t xml:space="preserve">disputes between the </w:t>
      </w:r>
      <w:r w:rsidR="00D82BC0">
        <w:t>Supplier</w:t>
      </w:r>
      <w:r>
        <w:t xml:space="preserve"> and an </w:t>
      </w:r>
      <w:r w:rsidR="004202A4">
        <w:t>Eligible Customer</w:t>
      </w:r>
      <w:r w:rsidR="00861B32">
        <w:t>, regardless of whether the dispute resolution process under the Customer Contract has been initiated</w:t>
      </w:r>
      <w:r>
        <w:t>;</w:t>
      </w:r>
    </w:p>
    <w:p w14:paraId="717FE16C" w14:textId="464ABF77" w:rsidR="004D3880" w:rsidRPr="00B24906" w:rsidRDefault="00AE4001" w:rsidP="00A065C0">
      <w:pPr>
        <w:pStyle w:val="Heading4"/>
      </w:pPr>
      <w:r>
        <w:t>details of any</w:t>
      </w:r>
      <w:r w:rsidR="00861B32">
        <w:t xml:space="preserve"> material breaches by the </w:t>
      </w:r>
      <w:r w:rsidR="00D82BC0">
        <w:t>Supplier</w:t>
      </w:r>
      <w:r w:rsidR="00861B32">
        <w:t xml:space="preserve"> under any Customer Contract, including any</w:t>
      </w:r>
      <w:r>
        <w:t xml:space="preserve"> actual</w:t>
      </w:r>
      <w:r w:rsidR="002B1B2C">
        <w:t>, alleged</w:t>
      </w:r>
      <w:r>
        <w:t xml:space="preserve"> or suspected security or data </w:t>
      </w:r>
      <w:r w:rsidR="002B1B2C">
        <w:t xml:space="preserve">incidents or breaches </w:t>
      </w:r>
      <w:r>
        <w:t xml:space="preserve">experienced by the </w:t>
      </w:r>
      <w:r w:rsidR="00D82BC0">
        <w:t>Supplier</w:t>
      </w:r>
      <w:r>
        <w:t>;</w:t>
      </w:r>
      <w:r w:rsidR="00F16649">
        <w:t xml:space="preserve"> and</w:t>
      </w:r>
    </w:p>
    <w:p w14:paraId="51F7E7F1" w14:textId="3CA01332" w:rsidR="004D3880" w:rsidRDefault="004D3880" w:rsidP="00A065C0">
      <w:pPr>
        <w:pStyle w:val="Heading4"/>
      </w:pPr>
      <w:proofErr w:type="gramStart"/>
      <w:r>
        <w:t>such</w:t>
      </w:r>
      <w:proofErr w:type="gramEnd"/>
      <w:r>
        <w:rPr>
          <w:spacing w:val="-9"/>
        </w:rPr>
        <w:t xml:space="preserve"> </w:t>
      </w:r>
      <w:r>
        <w:rPr>
          <w:spacing w:val="-1"/>
        </w:rPr>
        <w:t>other</w:t>
      </w:r>
      <w:r>
        <w:rPr>
          <w:spacing w:val="-3"/>
        </w:rPr>
        <w:t xml:space="preserve"> </w:t>
      </w:r>
      <w:r>
        <w:t>information</w:t>
      </w:r>
      <w:r>
        <w:rPr>
          <w:spacing w:val="-9"/>
        </w:rPr>
        <w:t xml:space="preserve"> </w:t>
      </w:r>
      <w:r>
        <w:rPr>
          <w:spacing w:val="-1"/>
        </w:rPr>
        <w:t>as</w:t>
      </w:r>
      <w:r>
        <w:rPr>
          <w:spacing w:val="-13"/>
        </w:rPr>
        <w:t xml:space="preserve"> </w:t>
      </w:r>
      <w:proofErr w:type="spellStart"/>
      <w:r w:rsidR="002E7CC0">
        <w:rPr>
          <w:spacing w:val="-1"/>
        </w:rPr>
        <w:t>TfNSW</w:t>
      </w:r>
      <w:proofErr w:type="spellEnd"/>
      <w:r>
        <w:rPr>
          <w:spacing w:val="-12"/>
        </w:rPr>
        <w:t xml:space="preserve"> </w:t>
      </w:r>
      <w:r>
        <w:t>may</w:t>
      </w:r>
      <w:r>
        <w:rPr>
          <w:spacing w:val="-13"/>
        </w:rPr>
        <w:t xml:space="preserve"> </w:t>
      </w:r>
      <w:r>
        <w:rPr>
          <w:spacing w:val="-1"/>
        </w:rPr>
        <w:t>reasonably</w:t>
      </w:r>
      <w:r>
        <w:rPr>
          <w:spacing w:val="-7"/>
        </w:rPr>
        <w:t xml:space="preserve"> </w:t>
      </w:r>
      <w:r>
        <w:t>require</w:t>
      </w:r>
      <w:r w:rsidR="00861B32">
        <w:t xml:space="preserve"> in connection with the </w:t>
      </w:r>
      <w:r w:rsidR="00D82BC0">
        <w:t>Supplier</w:t>
      </w:r>
      <w:r w:rsidR="00285576">
        <w:t>’</w:t>
      </w:r>
      <w:r w:rsidR="00861B32">
        <w:t xml:space="preserve">s provision of </w:t>
      </w:r>
      <w:r w:rsidR="001E2709">
        <w:t xml:space="preserve">Approved </w:t>
      </w:r>
      <w:r w:rsidR="002E7CC0">
        <w:t>Digital Engineering Service</w:t>
      </w:r>
      <w:r w:rsidR="00861B32">
        <w:t>s under this Head Agreement</w:t>
      </w:r>
      <w:r>
        <w:t>.</w:t>
      </w:r>
    </w:p>
    <w:p w14:paraId="12180C09" w14:textId="68683B5D" w:rsidR="005D6550" w:rsidRDefault="005D6550" w:rsidP="005D6550">
      <w:pPr>
        <w:pStyle w:val="Heading3"/>
      </w:pPr>
      <w:bookmarkStart w:id="68" w:name="_Hlk11416511"/>
      <w:r>
        <w:t xml:space="preserve">The </w:t>
      </w:r>
      <w:r w:rsidR="00D82BC0">
        <w:t>Supplier</w:t>
      </w:r>
      <w:r>
        <w:t xml:space="preserve"> acknowledges that </w:t>
      </w:r>
      <w:r w:rsidR="004202A4">
        <w:t>Eligible Customer</w:t>
      </w:r>
      <w:r>
        <w:t xml:space="preserve">s may share with </w:t>
      </w:r>
      <w:proofErr w:type="spellStart"/>
      <w:r>
        <w:t>TfNSW</w:t>
      </w:r>
      <w:proofErr w:type="spellEnd"/>
      <w:r>
        <w:t xml:space="preserve"> reporting received and performance reviews conducted under Customer Contracts. </w:t>
      </w:r>
    </w:p>
    <w:p w14:paraId="210FB9E1" w14:textId="1F8A6DCD" w:rsidR="002B1B2C" w:rsidRPr="00D35C3A" w:rsidRDefault="002E7CC0" w:rsidP="00A065C0">
      <w:pPr>
        <w:pStyle w:val="Heading3"/>
      </w:pPr>
      <w:proofErr w:type="spellStart"/>
      <w:r>
        <w:t>TfNSW</w:t>
      </w:r>
      <w:proofErr w:type="spellEnd"/>
      <w:r w:rsidR="00F16649">
        <w:t xml:space="preserve"> may share the details of </w:t>
      </w:r>
      <w:r w:rsidR="005D6550">
        <w:t xml:space="preserve">any information received under this clause </w:t>
      </w:r>
      <w:r w:rsidR="009A6613">
        <w:fldChar w:fldCharType="begin"/>
      </w:r>
      <w:r w:rsidR="009A6613">
        <w:instrText xml:space="preserve"> REF _Ref9949202 \w \h </w:instrText>
      </w:r>
      <w:r w:rsidR="009A6613">
        <w:fldChar w:fldCharType="separate"/>
      </w:r>
      <w:r w:rsidR="00082E91">
        <w:t>6.1</w:t>
      </w:r>
      <w:r w:rsidR="009A6613">
        <w:fldChar w:fldCharType="end"/>
      </w:r>
      <w:r w:rsidR="005D6550">
        <w:t xml:space="preserve"> </w:t>
      </w:r>
      <w:r w:rsidR="00F16649">
        <w:t xml:space="preserve">with </w:t>
      </w:r>
      <w:r w:rsidR="005D6550">
        <w:t xml:space="preserve">any </w:t>
      </w:r>
      <w:r w:rsidR="004202A4">
        <w:t>Eligible Customer</w:t>
      </w:r>
      <w:r w:rsidR="00093017">
        <w:rPr>
          <w:spacing w:val="-1"/>
        </w:rPr>
        <w:t>,</w:t>
      </w:r>
      <w:r w:rsidR="00093017">
        <w:t xml:space="preserve"> </w:t>
      </w:r>
      <w:r w:rsidR="00093017" w:rsidRPr="00C021BD">
        <w:rPr>
          <w:rFonts w:cs="Arial"/>
          <w:spacing w:val="-1"/>
        </w:rPr>
        <w:t>for</w:t>
      </w:r>
      <w:r w:rsidR="00093017" w:rsidRPr="00C021BD">
        <w:rPr>
          <w:rFonts w:cs="Arial"/>
          <w:spacing w:val="7"/>
        </w:rPr>
        <w:t xml:space="preserve"> </w:t>
      </w:r>
      <w:r w:rsidR="00093017" w:rsidRPr="00C021BD">
        <w:rPr>
          <w:rFonts w:cs="Arial"/>
          <w:spacing w:val="-1"/>
        </w:rPr>
        <w:t>the</w:t>
      </w:r>
      <w:r w:rsidR="00093017" w:rsidRPr="00C021BD">
        <w:rPr>
          <w:rFonts w:cs="Arial"/>
          <w:spacing w:val="3"/>
        </w:rPr>
        <w:t xml:space="preserve"> </w:t>
      </w:r>
      <w:r w:rsidR="00093017" w:rsidRPr="00C021BD">
        <w:rPr>
          <w:rFonts w:cs="Arial"/>
          <w:spacing w:val="-1"/>
        </w:rPr>
        <w:t>purposes</w:t>
      </w:r>
      <w:r w:rsidR="00093017" w:rsidRPr="00C021BD">
        <w:rPr>
          <w:rFonts w:cs="Arial"/>
          <w:spacing w:val="3"/>
        </w:rPr>
        <w:t xml:space="preserve"> </w:t>
      </w:r>
      <w:r w:rsidR="00093017" w:rsidRPr="00C021BD">
        <w:rPr>
          <w:rFonts w:cs="Arial"/>
          <w:spacing w:val="-1"/>
        </w:rPr>
        <w:t>of</w:t>
      </w:r>
      <w:r w:rsidR="00093017" w:rsidRPr="00C021BD">
        <w:rPr>
          <w:rFonts w:cs="Arial"/>
          <w:spacing w:val="7"/>
        </w:rPr>
        <w:t xml:space="preserve"> </w:t>
      </w:r>
      <w:r w:rsidR="005B2871" w:rsidRPr="00C021BD">
        <w:rPr>
          <w:rFonts w:cs="Arial"/>
          <w:spacing w:val="7"/>
        </w:rPr>
        <w:t>the</w:t>
      </w:r>
      <w:r w:rsidR="00C021BD">
        <w:rPr>
          <w:rFonts w:cs="Arial"/>
          <w:spacing w:val="7"/>
        </w:rPr>
        <w:t xml:space="preserve"> </w:t>
      </w:r>
      <w:r w:rsidR="00C021BD">
        <w:t>Eligible Customer</w:t>
      </w:r>
      <w:r w:rsidR="002B1B2C">
        <w:rPr>
          <w:spacing w:val="7"/>
        </w:rPr>
        <w:t>:</w:t>
      </w:r>
    </w:p>
    <w:p w14:paraId="4B5AE0A8" w14:textId="0D02D108" w:rsidR="002B1B2C" w:rsidRDefault="005D6550" w:rsidP="006300FE">
      <w:pPr>
        <w:pStyle w:val="Heading4"/>
      </w:pPr>
      <w:proofErr w:type="gramStart"/>
      <w:r>
        <w:rPr>
          <w:spacing w:val="7"/>
        </w:rPr>
        <w:t>assessing</w:t>
      </w:r>
      <w:proofErr w:type="gramEnd"/>
      <w:r>
        <w:rPr>
          <w:spacing w:val="7"/>
        </w:rPr>
        <w:t xml:space="preserve"> </w:t>
      </w:r>
      <w:r w:rsidR="00093017">
        <w:t>the</w:t>
      </w:r>
      <w:r w:rsidR="00093017">
        <w:rPr>
          <w:spacing w:val="3"/>
        </w:rPr>
        <w:t xml:space="preserve"> </w:t>
      </w:r>
      <w:r w:rsidR="00093017">
        <w:t>terms</w:t>
      </w:r>
      <w:r w:rsidR="00093017">
        <w:rPr>
          <w:spacing w:val="2"/>
        </w:rPr>
        <w:t xml:space="preserve"> </w:t>
      </w:r>
      <w:r w:rsidR="00093017">
        <w:t>of</w:t>
      </w:r>
      <w:r w:rsidR="00093017">
        <w:rPr>
          <w:spacing w:val="2"/>
        </w:rPr>
        <w:t xml:space="preserve"> </w:t>
      </w:r>
      <w:r w:rsidR="002B1B2C">
        <w:rPr>
          <w:spacing w:val="2"/>
        </w:rPr>
        <w:t xml:space="preserve">and managing </w:t>
      </w:r>
      <w:r w:rsidR="00093017">
        <w:t>its</w:t>
      </w:r>
      <w:r w:rsidR="00093017">
        <w:rPr>
          <w:spacing w:val="7"/>
        </w:rPr>
        <w:t xml:space="preserve"> </w:t>
      </w:r>
      <w:r w:rsidR="00093017">
        <w:t>own</w:t>
      </w:r>
      <w:r w:rsidR="00093017">
        <w:rPr>
          <w:spacing w:val="2"/>
        </w:rPr>
        <w:t xml:space="preserve"> </w:t>
      </w:r>
      <w:r w:rsidR="00093017">
        <w:t>contracts</w:t>
      </w:r>
      <w:r w:rsidR="00093017">
        <w:rPr>
          <w:spacing w:val="59"/>
        </w:rPr>
        <w:t xml:space="preserve"> </w:t>
      </w:r>
      <w:r w:rsidR="00093017">
        <w:t>(or</w:t>
      </w:r>
      <w:r w:rsidR="00093017">
        <w:rPr>
          <w:spacing w:val="-2"/>
        </w:rPr>
        <w:t xml:space="preserve"> </w:t>
      </w:r>
      <w:r w:rsidR="00093017">
        <w:t>proposed</w:t>
      </w:r>
      <w:r w:rsidR="00093017">
        <w:rPr>
          <w:spacing w:val="-3"/>
        </w:rPr>
        <w:t xml:space="preserve"> </w:t>
      </w:r>
      <w:r w:rsidR="00093017">
        <w:t>contracts)</w:t>
      </w:r>
      <w:r w:rsidR="00093017">
        <w:rPr>
          <w:spacing w:val="-2"/>
        </w:rPr>
        <w:t xml:space="preserve"> </w:t>
      </w:r>
      <w:r w:rsidR="00093017">
        <w:t>with</w:t>
      </w:r>
      <w:r w:rsidR="00093017">
        <w:rPr>
          <w:spacing w:val="-3"/>
        </w:rPr>
        <w:t xml:space="preserve"> </w:t>
      </w:r>
      <w:r w:rsidR="00093017">
        <w:t>the</w:t>
      </w:r>
      <w:r w:rsidR="00093017">
        <w:rPr>
          <w:spacing w:val="-2"/>
        </w:rPr>
        <w:t xml:space="preserve"> </w:t>
      </w:r>
      <w:r w:rsidR="00D82BC0">
        <w:t>Supplier</w:t>
      </w:r>
      <w:r w:rsidR="00093017">
        <w:rPr>
          <w:spacing w:val="-2"/>
        </w:rPr>
        <w:t xml:space="preserve"> </w:t>
      </w:r>
      <w:r w:rsidR="00093017">
        <w:t>or</w:t>
      </w:r>
      <w:r w:rsidR="00093017">
        <w:rPr>
          <w:spacing w:val="-2"/>
        </w:rPr>
        <w:t xml:space="preserve"> </w:t>
      </w:r>
      <w:r w:rsidR="00093017">
        <w:t>any</w:t>
      </w:r>
      <w:r w:rsidR="00093017">
        <w:rPr>
          <w:spacing w:val="3"/>
        </w:rPr>
        <w:t xml:space="preserve"> </w:t>
      </w:r>
      <w:r w:rsidR="00093017">
        <w:t>other</w:t>
      </w:r>
      <w:r w:rsidR="00093017">
        <w:rPr>
          <w:spacing w:val="-2"/>
        </w:rPr>
        <w:t xml:space="preserve"> </w:t>
      </w:r>
      <w:r w:rsidR="00093017">
        <w:t>third</w:t>
      </w:r>
      <w:r w:rsidR="00093017">
        <w:rPr>
          <w:spacing w:val="-3"/>
        </w:rPr>
        <w:t xml:space="preserve"> </w:t>
      </w:r>
      <w:r w:rsidR="00093017">
        <w:t>party</w:t>
      </w:r>
      <w:r w:rsidR="002B1B2C">
        <w:t>;</w:t>
      </w:r>
    </w:p>
    <w:p w14:paraId="1E5BF5C7" w14:textId="03064799" w:rsidR="002B1B2C" w:rsidRDefault="002B1B2C" w:rsidP="006300FE">
      <w:pPr>
        <w:pStyle w:val="Heading4"/>
      </w:pPr>
      <w:proofErr w:type="gramStart"/>
      <w:r>
        <w:t>for</w:t>
      </w:r>
      <w:proofErr w:type="gramEnd"/>
      <w:r>
        <w:t xml:space="preserve"> governance or reporting purposes; or</w:t>
      </w:r>
    </w:p>
    <w:p w14:paraId="2E89DE32" w14:textId="01D495CF" w:rsidR="00F16649" w:rsidRDefault="002B1B2C" w:rsidP="006300FE">
      <w:pPr>
        <w:pStyle w:val="Heading4"/>
      </w:pPr>
      <w:proofErr w:type="gramStart"/>
      <w:r>
        <w:t>for</w:t>
      </w:r>
      <w:proofErr w:type="gramEnd"/>
      <w:r>
        <w:t xml:space="preserve"> any other reasonable business purposes</w:t>
      </w:r>
      <w:r w:rsidR="00093017">
        <w:t>.</w:t>
      </w:r>
    </w:p>
    <w:p w14:paraId="7A1DEF3D" w14:textId="5689C311" w:rsidR="00C7330B" w:rsidRDefault="002E7CC0" w:rsidP="00A065C0">
      <w:pPr>
        <w:pStyle w:val="Heading2"/>
      </w:pPr>
      <w:bookmarkStart w:id="69" w:name="_Toc15419242"/>
      <w:bookmarkStart w:id="70" w:name="_Ref10032192"/>
      <w:bookmarkEnd w:id="68"/>
      <w:r>
        <w:lastRenderedPageBreak/>
        <w:t>Service</w:t>
      </w:r>
      <w:r w:rsidR="00C7330B">
        <w:t xml:space="preserve"> optimisation</w:t>
      </w:r>
      <w:bookmarkEnd w:id="69"/>
    </w:p>
    <w:p w14:paraId="734D1F67" w14:textId="77777777" w:rsidR="00C021BD" w:rsidRDefault="00AD36DE" w:rsidP="009E77E3">
      <w:pPr>
        <w:pStyle w:val="Heading3"/>
      </w:pPr>
      <w:r>
        <w:t xml:space="preserve">If required by </w:t>
      </w:r>
      <w:proofErr w:type="spellStart"/>
      <w:r>
        <w:t>TfNSW</w:t>
      </w:r>
      <w:proofErr w:type="spellEnd"/>
      <w:r>
        <w:t>, t</w:t>
      </w:r>
      <w:r w:rsidR="00802D8E">
        <w:t xml:space="preserve">he </w:t>
      </w:r>
      <w:r w:rsidR="00D82BC0">
        <w:t>Supplier</w:t>
      </w:r>
      <w:r w:rsidR="00802D8E">
        <w:t xml:space="preserve"> </w:t>
      </w:r>
      <w:r>
        <w:t xml:space="preserve">must </w:t>
      </w:r>
      <w:r w:rsidR="00802D8E">
        <w:t xml:space="preserve">meet with </w:t>
      </w:r>
      <w:proofErr w:type="spellStart"/>
      <w:r w:rsidR="002E7CC0">
        <w:t>TfNSW</w:t>
      </w:r>
      <w:proofErr w:type="spellEnd"/>
      <w:r w:rsidR="005B2871">
        <w:t xml:space="preserve"> at least once every </w:t>
      </w:r>
      <w:r w:rsidR="005B2871" w:rsidRPr="005D6550">
        <w:t>6 months</w:t>
      </w:r>
      <w:r w:rsidR="005B2871">
        <w:t xml:space="preserve"> </w:t>
      </w:r>
      <w:r w:rsidR="009E77E3">
        <w:t>to</w:t>
      </w:r>
      <w:r w:rsidR="00C021BD">
        <w:t>:</w:t>
      </w:r>
    </w:p>
    <w:p w14:paraId="43C56222" w14:textId="4BC6C42B" w:rsidR="00C021BD" w:rsidRDefault="00C021BD" w:rsidP="00C021BD">
      <w:pPr>
        <w:pStyle w:val="Heading4"/>
      </w:pPr>
      <w:proofErr w:type="gramStart"/>
      <w:r>
        <w:t>discuss</w:t>
      </w:r>
      <w:proofErr w:type="gramEnd"/>
      <w:r>
        <w:t xml:space="preserve"> the Supplier’s 6-monthly reports and any issues arising;</w:t>
      </w:r>
    </w:p>
    <w:p w14:paraId="6D04D188" w14:textId="453D9420" w:rsidR="00C021BD" w:rsidRDefault="009E77E3" w:rsidP="00C021BD">
      <w:pPr>
        <w:pStyle w:val="Heading4"/>
      </w:pPr>
      <w:r>
        <w:t xml:space="preserve">present on any opportunities for </w:t>
      </w:r>
      <w:r w:rsidR="004202A4">
        <w:t>Eligible Customer</w:t>
      </w:r>
      <w:r>
        <w:t xml:space="preserve">s to improve or optimise the way that they are procuring or using any </w:t>
      </w:r>
      <w:r w:rsidR="001E2709">
        <w:t xml:space="preserve">Approved </w:t>
      </w:r>
      <w:r w:rsidR="002E7CC0">
        <w:t>Digital Engineering Service</w:t>
      </w:r>
      <w:r>
        <w:t>s</w:t>
      </w:r>
      <w:r w:rsidR="00C021BD">
        <w:t>; and</w:t>
      </w:r>
    </w:p>
    <w:p w14:paraId="460982D1" w14:textId="77777777" w:rsidR="00C021BD" w:rsidRDefault="00C021BD" w:rsidP="00C021BD">
      <w:pPr>
        <w:pStyle w:val="Heading4"/>
      </w:pPr>
      <w:proofErr w:type="gramStart"/>
      <w:r>
        <w:t>discuss</w:t>
      </w:r>
      <w:proofErr w:type="gramEnd"/>
      <w:r>
        <w:t xml:space="preserve"> any other items requested by </w:t>
      </w:r>
      <w:proofErr w:type="spellStart"/>
      <w:r>
        <w:t>TfNSW</w:t>
      </w:r>
      <w:proofErr w:type="spellEnd"/>
      <w:r w:rsidR="009E77E3">
        <w:t xml:space="preserve">. </w:t>
      </w:r>
    </w:p>
    <w:p w14:paraId="07773C47" w14:textId="7E0E27C3" w:rsidR="009E77E3" w:rsidRDefault="009E77E3" w:rsidP="009E77E3">
      <w:pPr>
        <w:pStyle w:val="Heading3"/>
      </w:pPr>
      <w:r>
        <w:t xml:space="preserve">As part of such presentation, the </w:t>
      </w:r>
      <w:r w:rsidR="00D82BC0">
        <w:t>Supplier</w:t>
      </w:r>
      <w:r>
        <w:t xml:space="preserve"> may provide details of any new services that it wishes to make available to </w:t>
      </w:r>
      <w:r w:rsidR="004202A4">
        <w:t>Eligible Customer</w:t>
      </w:r>
      <w:r>
        <w:t xml:space="preserve">s under this Head Agreement.  </w:t>
      </w:r>
    </w:p>
    <w:p w14:paraId="42BF90EB" w14:textId="77777777" w:rsidR="00C021BD" w:rsidRDefault="00C021BD" w:rsidP="00C021BD">
      <w:pPr>
        <w:pStyle w:val="Heading3"/>
      </w:pPr>
      <w:bookmarkStart w:id="71" w:name="_Toc15419244"/>
      <w:bookmarkStart w:id="72" w:name="_Ref10051394"/>
      <w:bookmarkStart w:id="73" w:name="_Ref11492858"/>
      <w:bookmarkEnd w:id="70"/>
      <w:proofErr w:type="spellStart"/>
      <w:r>
        <w:t>TfNSW</w:t>
      </w:r>
      <w:proofErr w:type="spellEnd"/>
      <w:r>
        <w:t xml:space="preserve"> may disclose any information provided by the Supplier during such meetings to any Eligible Customer. </w:t>
      </w:r>
    </w:p>
    <w:p w14:paraId="6BE9CD86" w14:textId="08B6ABB9" w:rsidR="00442A17" w:rsidRDefault="00442A17" w:rsidP="00965C2F">
      <w:pPr>
        <w:pStyle w:val="Heading2"/>
        <w:tabs>
          <w:tab w:val="clear" w:pos="567"/>
          <w:tab w:val="num" w:pos="709"/>
          <w:tab w:val="left" w:pos="1134"/>
          <w:tab w:val="num" w:pos="1276"/>
        </w:tabs>
        <w:ind w:left="2410" w:hanging="1701"/>
      </w:pPr>
      <w:r>
        <w:t>Annual review</w:t>
      </w:r>
    </w:p>
    <w:p w14:paraId="62E69D4A" w14:textId="001867A5" w:rsidR="00442A17" w:rsidRDefault="00442A17" w:rsidP="00442A17">
      <w:pPr>
        <w:pStyle w:val="Heading3"/>
      </w:pPr>
      <w:proofErr w:type="spellStart"/>
      <w:r>
        <w:t>TfNSW</w:t>
      </w:r>
      <w:proofErr w:type="spellEnd"/>
      <w:r>
        <w:t xml:space="preserve"> may conduct an annual review of the </w:t>
      </w:r>
      <w:r w:rsidR="00D82BC0">
        <w:t>Supplier</w:t>
      </w:r>
      <w:r>
        <w:t>’s performance under the Scheme, including:</w:t>
      </w:r>
    </w:p>
    <w:p w14:paraId="232B7158" w14:textId="434CC589" w:rsidR="00442A17" w:rsidRDefault="00442A17" w:rsidP="00442A17">
      <w:pPr>
        <w:pStyle w:val="Heading4"/>
      </w:pPr>
      <w:proofErr w:type="gramStart"/>
      <w:r>
        <w:t>obtaining</w:t>
      </w:r>
      <w:proofErr w:type="gramEnd"/>
      <w:r>
        <w:t xml:space="preserve"> feedback from </w:t>
      </w:r>
      <w:r w:rsidR="004202A4">
        <w:t>Eligible Customer</w:t>
      </w:r>
      <w:r>
        <w:t xml:space="preserve">s; </w:t>
      </w:r>
    </w:p>
    <w:p w14:paraId="7E7FF4C4" w14:textId="7342F322" w:rsidR="00442A17" w:rsidRDefault="00442A17" w:rsidP="00442A17">
      <w:pPr>
        <w:pStyle w:val="Heading4"/>
      </w:pPr>
      <w:proofErr w:type="gramStart"/>
      <w:r>
        <w:t>comparing</w:t>
      </w:r>
      <w:proofErr w:type="gramEnd"/>
      <w:r>
        <w:t xml:space="preserve"> the performance and pricing of the </w:t>
      </w:r>
      <w:r w:rsidR="00D82BC0">
        <w:t>Supplier</w:t>
      </w:r>
      <w:r>
        <w:t xml:space="preserve"> relative to other participants in the Scheme; and</w:t>
      </w:r>
    </w:p>
    <w:p w14:paraId="0C8061FB" w14:textId="6956D147" w:rsidR="00442A17" w:rsidRDefault="00442A17" w:rsidP="00442A17">
      <w:pPr>
        <w:pStyle w:val="Heading4"/>
      </w:pPr>
      <w:proofErr w:type="gramStart"/>
      <w:r>
        <w:t>considering</w:t>
      </w:r>
      <w:proofErr w:type="gramEnd"/>
      <w:r>
        <w:t xml:space="preserve"> such other matters as </w:t>
      </w:r>
      <w:proofErr w:type="spellStart"/>
      <w:r>
        <w:t>TfNSW</w:t>
      </w:r>
      <w:proofErr w:type="spellEnd"/>
      <w:r>
        <w:t xml:space="preserve"> may determine. </w:t>
      </w:r>
    </w:p>
    <w:p w14:paraId="2C1B1EAC" w14:textId="56DE4321" w:rsidR="00442A17" w:rsidRPr="00442A17" w:rsidRDefault="00442A17" w:rsidP="00442A17">
      <w:pPr>
        <w:pStyle w:val="Heading3"/>
      </w:pPr>
      <w:proofErr w:type="spellStart"/>
      <w:r>
        <w:t>TfNSW</w:t>
      </w:r>
      <w:proofErr w:type="spellEnd"/>
      <w:r>
        <w:t xml:space="preserve"> may, but is not obliged to, share the results of such a review with the </w:t>
      </w:r>
      <w:r w:rsidR="00D82BC0">
        <w:t>Supplier</w:t>
      </w:r>
      <w:r>
        <w:t xml:space="preserve"> and/or </w:t>
      </w:r>
      <w:r w:rsidR="004202A4">
        <w:t>Eligible Customer</w:t>
      </w:r>
      <w:r>
        <w:t xml:space="preserve">s. </w:t>
      </w:r>
    </w:p>
    <w:p w14:paraId="607CD3D5" w14:textId="752738FD" w:rsidR="004D3880" w:rsidRDefault="00546D78" w:rsidP="00965C2F">
      <w:pPr>
        <w:pStyle w:val="Heading2"/>
        <w:tabs>
          <w:tab w:val="clear" w:pos="567"/>
          <w:tab w:val="num" w:pos="709"/>
          <w:tab w:val="left" w:pos="1134"/>
          <w:tab w:val="num" w:pos="1276"/>
        </w:tabs>
        <w:ind w:left="2410" w:hanging="1701"/>
      </w:pPr>
      <w:bookmarkStart w:id="74" w:name="_Ref19801209"/>
      <w:r>
        <w:t>Records</w:t>
      </w:r>
      <w:bookmarkEnd w:id="71"/>
      <w:bookmarkEnd w:id="74"/>
      <w:r>
        <w:t xml:space="preserve"> </w:t>
      </w:r>
      <w:bookmarkEnd w:id="72"/>
      <w:bookmarkEnd w:id="73"/>
    </w:p>
    <w:p w14:paraId="2FD7858C" w14:textId="66649DAE" w:rsidR="00546D78" w:rsidRDefault="00546D78" w:rsidP="008F0666">
      <w:pPr>
        <w:pStyle w:val="Heading3"/>
      </w:pPr>
      <w:r w:rsidRPr="002D1AC9">
        <w:rPr>
          <w:rFonts w:cs="Arial"/>
          <w:color w:val="000000" w:themeColor="text1"/>
        </w:rPr>
        <w:t xml:space="preserve">The </w:t>
      </w:r>
      <w:r w:rsidR="00D82BC0">
        <w:rPr>
          <w:rFonts w:cs="Arial"/>
          <w:color w:val="000000" w:themeColor="text1"/>
        </w:rPr>
        <w:t>Supplier</w:t>
      </w:r>
      <w:r w:rsidRPr="002D1AC9">
        <w:rPr>
          <w:rFonts w:cs="Arial"/>
          <w:color w:val="000000" w:themeColor="text1"/>
        </w:rPr>
        <w:t xml:space="preserve"> </w:t>
      </w:r>
      <w:r>
        <w:t>must</w:t>
      </w:r>
      <w:r w:rsidRPr="002D1AC9">
        <w:t xml:space="preserve"> </w:t>
      </w:r>
      <w:r>
        <w:t>create and maintain records</w:t>
      </w:r>
      <w:r w:rsidRPr="002D1AC9">
        <w:t xml:space="preserve"> of the </w:t>
      </w:r>
      <w:r w:rsidR="00D82BC0">
        <w:t>Supplier</w:t>
      </w:r>
      <w:r w:rsidR="003467D1">
        <w:t>’</w:t>
      </w:r>
      <w:r w:rsidRPr="002D1AC9">
        <w:t xml:space="preserve">s </w:t>
      </w:r>
      <w:r w:rsidR="00612E49">
        <w:t xml:space="preserve">compliance with </w:t>
      </w:r>
      <w:r>
        <w:t>this Head Agreement</w:t>
      </w:r>
      <w:r w:rsidR="00612E49">
        <w:t>,</w:t>
      </w:r>
      <w:r>
        <w:t xml:space="preserve"> </w:t>
      </w:r>
      <w:r w:rsidRPr="002D1AC9">
        <w:t xml:space="preserve">in accordance with applicable </w:t>
      </w:r>
      <w:r w:rsidR="00C05C46">
        <w:t>Law</w:t>
      </w:r>
      <w:r w:rsidRPr="002D1AC9">
        <w:t>s and relevant industry practice and standards</w:t>
      </w:r>
      <w:r>
        <w:t xml:space="preserve"> </w:t>
      </w:r>
      <w:r w:rsidR="002B1B2C">
        <w:t xml:space="preserve">(including applicable Australian accounting standards) </w:t>
      </w:r>
      <w:r>
        <w:t xml:space="preserve">and which are reasonably detailed to demonstrate </w:t>
      </w:r>
      <w:r w:rsidR="00D82BC0">
        <w:t>Supplier</w:t>
      </w:r>
      <w:r w:rsidR="003467D1">
        <w:t>’</w:t>
      </w:r>
      <w:r>
        <w:t xml:space="preserve">s compliance with the Head Agreement </w:t>
      </w:r>
      <w:r w:rsidR="004A332A">
        <w:t>(</w:t>
      </w:r>
      <w:r w:rsidR="004A332A" w:rsidRPr="004A332A">
        <w:rPr>
          <w:b/>
        </w:rPr>
        <w:t>Records</w:t>
      </w:r>
      <w:r w:rsidR="004A332A">
        <w:t>)</w:t>
      </w:r>
      <w:r w:rsidRPr="002D1AC9">
        <w:t>.</w:t>
      </w:r>
    </w:p>
    <w:p w14:paraId="7A2B064D" w14:textId="3D020410" w:rsidR="00546D78" w:rsidRDefault="00546D78" w:rsidP="008F0666">
      <w:pPr>
        <w:pStyle w:val="Heading3"/>
        <w:rPr>
          <w:rFonts w:eastAsia="Century Gothic"/>
        </w:rPr>
      </w:pPr>
      <w:r>
        <w:rPr>
          <w:rFonts w:eastAsia="Century Gothic"/>
        </w:rPr>
        <w:t xml:space="preserve">The </w:t>
      </w:r>
      <w:r w:rsidR="00D82BC0">
        <w:rPr>
          <w:rFonts w:eastAsia="Century Gothic"/>
        </w:rPr>
        <w:t>Supplier</w:t>
      </w:r>
      <w:r>
        <w:rPr>
          <w:rFonts w:eastAsia="Century Gothic"/>
        </w:rPr>
        <w:t xml:space="preserve"> must provide</w:t>
      </w:r>
      <w:r w:rsidR="004A332A">
        <w:rPr>
          <w:rFonts w:eastAsia="Century Gothic"/>
        </w:rPr>
        <w:t xml:space="preserve"> to </w:t>
      </w:r>
      <w:proofErr w:type="spellStart"/>
      <w:r w:rsidR="00442A17">
        <w:rPr>
          <w:rFonts w:eastAsia="Century Gothic"/>
        </w:rPr>
        <w:t>TfNSW</w:t>
      </w:r>
      <w:proofErr w:type="spellEnd"/>
      <w:r w:rsidR="004A332A">
        <w:rPr>
          <w:rFonts w:eastAsia="Century Gothic"/>
        </w:rPr>
        <w:t xml:space="preserve">, </w:t>
      </w:r>
      <w:r w:rsidR="00612E49">
        <w:rPr>
          <w:rFonts w:eastAsia="Century Gothic"/>
        </w:rPr>
        <w:t xml:space="preserve">copies of </w:t>
      </w:r>
      <w:r w:rsidR="009E2056">
        <w:rPr>
          <w:rFonts w:eastAsia="Century Gothic"/>
        </w:rPr>
        <w:t xml:space="preserve">all </w:t>
      </w:r>
      <w:r w:rsidR="004A332A">
        <w:rPr>
          <w:rFonts w:eastAsia="Century Gothic"/>
        </w:rPr>
        <w:t>R</w:t>
      </w:r>
      <w:r>
        <w:rPr>
          <w:rFonts w:eastAsia="Century Gothic"/>
        </w:rPr>
        <w:t xml:space="preserve">ecords </w:t>
      </w:r>
      <w:r w:rsidR="009E2056">
        <w:rPr>
          <w:rFonts w:eastAsia="Century Gothic"/>
        </w:rPr>
        <w:t>in its possession and control</w:t>
      </w:r>
      <w:r>
        <w:rPr>
          <w:rFonts w:eastAsia="Century Gothic"/>
        </w:rPr>
        <w:t>:</w:t>
      </w:r>
    </w:p>
    <w:p w14:paraId="5F9DABE3" w14:textId="0431368A" w:rsidR="00546D78" w:rsidRDefault="00546D78" w:rsidP="008F0666">
      <w:pPr>
        <w:pStyle w:val="Heading4"/>
        <w:rPr>
          <w:rFonts w:eastAsia="Century Gothic"/>
        </w:rPr>
      </w:pPr>
      <w:proofErr w:type="gramStart"/>
      <w:r>
        <w:rPr>
          <w:rFonts w:eastAsia="Century Gothic"/>
        </w:rPr>
        <w:t>once</w:t>
      </w:r>
      <w:proofErr w:type="gramEnd"/>
      <w:r>
        <w:rPr>
          <w:rFonts w:eastAsia="Century Gothic"/>
        </w:rPr>
        <w:t xml:space="preserve"> per </w:t>
      </w:r>
      <w:r w:rsidR="00282424">
        <w:rPr>
          <w:rFonts w:eastAsia="Century Gothic"/>
        </w:rPr>
        <w:t>year</w:t>
      </w:r>
      <w:r>
        <w:rPr>
          <w:rFonts w:eastAsia="Century Gothic"/>
        </w:rPr>
        <w:t xml:space="preserve">, on request by </w:t>
      </w:r>
      <w:proofErr w:type="spellStart"/>
      <w:r w:rsidR="00442A17">
        <w:rPr>
          <w:rFonts w:eastAsia="Century Gothic"/>
        </w:rPr>
        <w:t>TfNSW</w:t>
      </w:r>
      <w:proofErr w:type="spellEnd"/>
      <w:r>
        <w:rPr>
          <w:rFonts w:eastAsia="Century Gothic"/>
        </w:rPr>
        <w:t xml:space="preserve">; </w:t>
      </w:r>
      <w:r w:rsidR="00C021BD">
        <w:rPr>
          <w:rFonts w:eastAsia="Century Gothic"/>
        </w:rPr>
        <w:t>and</w:t>
      </w:r>
    </w:p>
    <w:p w14:paraId="3ED7FD4E" w14:textId="68514FAF" w:rsidR="00546D78" w:rsidRDefault="00546D78" w:rsidP="008F0666">
      <w:pPr>
        <w:pStyle w:val="Heading4"/>
        <w:rPr>
          <w:rFonts w:eastAsia="Century Gothic"/>
        </w:rPr>
      </w:pPr>
      <w:r>
        <w:rPr>
          <w:rFonts w:eastAsia="Century Gothic"/>
        </w:rPr>
        <w:t xml:space="preserve">at such other times </w:t>
      </w:r>
      <w:r w:rsidR="002B1B2C">
        <w:rPr>
          <w:rFonts w:eastAsia="Century Gothic"/>
        </w:rPr>
        <w:t xml:space="preserve">on request by </w:t>
      </w:r>
      <w:proofErr w:type="spellStart"/>
      <w:r w:rsidR="002B1B2C">
        <w:rPr>
          <w:rFonts w:eastAsia="Century Gothic"/>
        </w:rPr>
        <w:t>TfNSW</w:t>
      </w:r>
      <w:proofErr w:type="spellEnd"/>
      <w:r w:rsidR="002B1B2C">
        <w:rPr>
          <w:rFonts w:eastAsia="Century Gothic"/>
        </w:rPr>
        <w:t xml:space="preserve"> </w:t>
      </w:r>
      <w:r w:rsidR="00691F18">
        <w:rPr>
          <w:rFonts w:eastAsia="Century Gothic"/>
        </w:rPr>
        <w:t>including</w:t>
      </w:r>
      <w:r w:rsidR="002B1B2C">
        <w:rPr>
          <w:rFonts w:eastAsia="Century Gothic"/>
        </w:rPr>
        <w:t xml:space="preserve"> where there is an actual</w:t>
      </w:r>
      <w:r w:rsidR="00C021BD">
        <w:rPr>
          <w:rFonts w:eastAsia="Century Gothic"/>
        </w:rPr>
        <w:t>,</w:t>
      </w:r>
      <w:r w:rsidR="002B1B2C">
        <w:rPr>
          <w:rFonts w:eastAsia="Century Gothic"/>
        </w:rPr>
        <w:t xml:space="preserve"> alleged </w:t>
      </w:r>
      <w:r w:rsidR="00C021BD">
        <w:rPr>
          <w:rFonts w:eastAsia="Century Gothic"/>
        </w:rPr>
        <w:t xml:space="preserve">or suspected </w:t>
      </w:r>
      <w:r w:rsidR="002B1B2C">
        <w:rPr>
          <w:rFonts w:eastAsia="Century Gothic"/>
        </w:rPr>
        <w:t xml:space="preserve">breach of this Head Agreement or </w:t>
      </w:r>
      <w:r w:rsidR="00C021BD">
        <w:rPr>
          <w:rFonts w:eastAsia="Century Gothic"/>
        </w:rPr>
        <w:t>any Customer Contract</w:t>
      </w:r>
      <w:r>
        <w:rPr>
          <w:rFonts w:eastAsia="Century Gothic"/>
        </w:rPr>
        <w:t xml:space="preserve">.  </w:t>
      </w:r>
    </w:p>
    <w:p w14:paraId="337AA85C" w14:textId="793AD1FC" w:rsidR="002B1B2C" w:rsidRDefault="002B1B2C" w:rsidP="002B1B2C">
      <w:pPr>
        <w:pStyle w:val="Heading2"/>
        <w:rPr>
          <w:rFonts w:eastAsia="Century Gothic"/>
        </w:rPr>
      </w:pPr>
      <w:r>
        <w:rPr>
          <w:rFonts w:eastAsia="Century Gothic"/>
        </w:rPr>
        <w:t>Governance</w:t>
      </w:r>
    </w:p>
    <w:p w14:paraId="60969F5D" w14:textId="5E331B98" w:rsidR="002B1B2C" w:rsidRPr="002B1B2C" w:rsidRDefault="002B1B2C" w:rsidP="002B1B2C">
      <w:pPr>
        <w:pStyle w:val="BodyText"/>
        <w:rPr>
          <w:rFonts w:eastAsia="Century Gothic"/>
        </w:rPr>
      </w:pPr>
      <w:r>
        <w:rPr>
          <w:rFonts w:eastAsia="Century Gothic"/>
        </w:rPr>
        <w:t xml:space="preserve">The Supplier must comply with any governance framework implemented by </w:t>
      </w:r>
      <w:proofErr w:type="spellStart"/>
      <w:r>
        <w:rPr>
          <w:rFonts w:eastAsia="Century Gothic"/>
        </w:rPr>
        <w:t>TfNSW</w:t>
      </w:r>
      <w:proofErr w:type="spellEnd"/>
      <w:r>
        <w:rPr>
          <w:rFonts w:eastAsia="Century Gothic"/>
        </w:rPr>
        <w:t xml:space="preserve"> as part of the Scheme from time to time, including making available suitably qualified </w:t>
      </w:r>
      <w:r w:rsidR="005645D1">
        <w:rPr>
          <w:rFonts w:eastAsia="Century Gothic"/>
        </w:rPr>
        <w:t>P</w:t>
      </w:r>
      <w:r>
        <w:rPr>
          <w:rFonts w:eastAsia="Century Gothic"/>
        </w:rPr>
        <w:t xml:space="preserve">ersonnel to attend governance meetings. </w:t>
      </w:r>
    </w:p>
    <w:p w14:paraId="7F1D6B01" w14:textId="77777777" w:rsidR="00D224EE" w:rsidRPr="007871CB" w:rsidRDefault="00D224EE" w:rsidP="00965C2F">
      <w:pPr>
        <w:pStyle w:val="Heading9"/>
        <w:tabs>
          <w:tab w:val="clear" w:pos="567"/>
          <w:tab w:val="num" w:pos="709"/>
        </w:tabs>
        <w:ind w:left="709"/>
      </w:pPr>
      <w:bookmarkStart w:id="75" w:name="_Toc15419245"/>
      <w:r>
        <w:lastRenderedPageBreak/>
        <w:t>Risk allocation under this Head Agreement</w:t>
      </w:r>
      <w:bookmarkEnd w:id="75"/>
    </w:p>
    <w:p w14:paraId="269F051E" w14:textId="1128AFA3" w:rsidR="00D224EE" w:rsidRDefault="00D82BC0" w:rsidP="00612E49">
      <w:pPr>
        <w:pStyle w:val="Heading1"/>
      </w:pPr>
      <w:bookmarkStart w:id="76" w:name="_Toc15419246"/>
      <w:r>
        <w:t>Supplier</w:t>
      </w:r>
      <w:r w:rsidR="00612E49" w:rsidRPr="00134FD9">
        <w:t xml:space="preserve"> </w:t>
      </w:r>
      <w:r w:rsidR="00D224EE">
        <w:t>Warranties</w:t>
      </w:r>
      <w:bookmarkEnd w:id="76"/>
    </w:p>
    <w:p w14:paraId="3D941E33" w14:textId="5D4256CB" w:rsidR="00134FD9" w:rsidRPr="00134FD9" w:rsidRDefault="00134FD9" w:rsidP="00612E49">
      <w:pPr>
        <w:pStyle w:val="BodyText"/>
      </w:pPr>
      <w:r w:rsidRPr="00134FD9">
        <w:t xml:space="preserve">The </w:t>
      </w:r>
      <w:r w:rsidR="00D82BC0">
        <w:t>Supplier</w:t>
      </w:r>
      <w:r w:rsidR="005E7162">
        <w:t xml:space="preserve"> </w:t>
      </w:r>
      <w:r w:rsidRPr="00134FD9">
        <w:t>warrants that:</w:t>
      </w:r>
    </w:p>
    <w:p w14:paraId="76575D3F" w14:textId="55088DED" w:rsidR="00134FD9" w:rsidRPr="00134FD9" w:rsidRDefault="00134FD9" w:rsidP="00612E49">
      <w:pPr>
        <w:pStyle w:val="Heading3"/>
      </w:pPr>
      <w:proofErr w:type="gramStart"/>
      <w:r w:rsidRPr="00134FD9">
        <w:t>as</w:t>
      </w:r>
      <w:proofErr w:type="gramEnd"/>
      <w:r w:rsidRPr="00134FD9">
        <w:t xml:space="preserve"> at the date</w:t>
      </w:r>
      <w:r w:rsidR="00DA4A09">
        <w:t xml:space="preserve"> of</w:t>
      </w:r>
      <w:r w:rsidRPr="00134FD9">
        <w:t xml:space="preserve"> this Head Agreement, the </w:t>
      </w:r>
      <w:r w:rsidR="00D82BC0">
        <w:t>Supplier</w:t>
      </w:r>
      <w:r w:rsidR="005E7162">
        <w:t xml:space="preserve"> </w:t>
      </w:r>
      <w:r w:rsidRPr="00134FD9">
        <w:t>is properly constituted, and has the right and authority to enter into this Head Agreement;</w:t>
      </w:r>
    </w:p>
    <w:p w14:paraId="10A1281C" w14:textId="44399151" w:rsidR="00134FD9" w:rsidRDefault="00134FD9" w:rsidP="00612E49">
      <w:pPr>
        <w:pStyle w:val="Heading3"/>
      </w:pPr>
      <w:proofErr w:type="gramStart"/>
      <w:r w:rsidRPr="00134FD9">
        <w:t>as</w:t>
      </w:r>
      <w:proofErr w:type="gramEnd"/>
      <w:r w:rsidRPr="00134FD9">
        <w:t xml:space="preserve"> at the </w:t>
      </w:r>
      <w:r w:rsidR="00612E49" w:rsidRPr="00134FD9">
        <w:t xml:space="preserve">date </w:t>
      </w:r>
      <w:r w:rsidRPr="00134FD9">
        <w:t xml:space="preserve">every </w:t>
      </w:r>
      <w:r w:rsidR="00612E49">
        <w:t xml:space="preserve">Customer Contract and </w:t>
      </w:r>
      <w:r w:rsidR="00DE02ED">
        <w:t>Order</w:t>
      </w:r>
      <w:r w:rsidR="005E7162">
        <w:t xml:space="preserve"> </w:t>
      </w:r>
      <w:r w:rsidRPr="00134FD9">
        <w:t xml:space="preserve">is entered into, the </w:t>
      </w:r>
      <w:r w:rsidR="00D82BC0">
        <w:t>Supplier</w:t>
      </w:r>
      <w:r w:rsidR="005E7162">
        <w:t xml:space="preserve"> </w:t>
      </w:r>
      <w:r w:rsidRPr="00134FD9">
        <w:t xml:space="preserve">is properly constituted and has the right and authority to enter into </w:t>
      </w:r>
      <w:r w:rsidR="003D3D07">
        <w:t>that</w:t>
      </w:r>
      <w:r w:rsidRPr="00134FD9">
        <w:t xml:space="preserve"> </w:t>
      </w:r>
      <w:r w:rsidR="00612E49">
        <w:t xml:space="preserve">Customer Contract or </w:t>
      </w:r>
      <w:r w:rsidR="00DE02ED">
        <w:t>Order</w:t>
      </w:r>
      <w:r w:rsidRPr="00134FD9">
        <w:t>;</w:t>
      </w:r>
    </w:p>
    <w:p w14:paraId="118C7525" w14:textId="69EA3982" w:rsidR="00134FD9" w:rsidRPr="00134FD9" w:rsidRDefault="00134FD9" w:rsidP="00612E49">
      <w:pPr>
        <w:pStyle w:val="Heading3"/>
      </w:pPr>
      <w:proofErr w:type="gramStart"/>
      <w:r w:rsidRPr="00134FD9">
        <w:t>to</w:t>
      </w:r>
      <w:proofErr w:type="gramEnd"/>
      <w:r w:rsidRPr="00134FD9">
        <w:t xml:space="preserve"> the best of its knowledge and belief</w:t>
      </w:r>
      <w:r w:rsidR="00612E49">
        <w:t>,</w:t>
      </w:r>
      <w:r w:rsidRPr="00134FD9">
        <w:t xml:space="preserve"> there is no Conflict of Interest</w:t>
      </w:r>
      <w:r w:rsidR="00612E49">
        <w:t xml:space="preserve">, in respect of itself and </w:t>
      </w:r>
      <w:r w:rsidRPr="00134FD9">
        <w:t xml:space="preserve">its Personnel, </w:t>
      </w:r>
      <w:r w:rsidR="00612E49">
        <w:t xml:space="preserve">which relate to the </w:t>
      </w:r>
      <w:r w:rsidR="00D82BC0">
        <w:t>Supplier</w:t>
      </w:r>
      <w:r w:rsidR="003467D1">
        <w:t>’</w:t>
      </w:r>
      <w:r w:rsidR="008A0E5F">
        <w:t>s</w:t>
      </w:r>
      <w:r w:rsidR="00612E49">
        <w:t xml:space="preserve"> ability to perform its obligations under this Head Agreement</w:t>
      </w:r>
      <w:r w:rsidRPr="00134FD9">
        <w:t>;</w:t>
      </w:r>
    </w:p>
    <w:p w14:paraId="5476BE0B" w14:textId="59AD2F3B" w:rsidR="00DA4A09" w:rsidRDefault="00134FD9" w:rsidP="00612E49">
      <w:pPr>
        <w:pStyle w:val="Heading3"/>
      </w:pPr>
      <w:r w:rsidRPr="005E7162">
        <w:t>the information</w:t>
      </w:r>
      <w:r w:rsidR="00DA4A09">
        <w:t xml:space="preserve"> that it</w:t>
      </w:r>
      <w:r w:rsidRPr="005E7162">
        <w:t xml:space="preserve"> provided to </w:t>
      </w:r>
      <w:proofErr w:type="spellStart"/>
      <w:r w:rsidR="002E7CC0">
        <w:t>TfNSW</w:t>
      </w:r>
      <w:proofErr w:type="spellEnd"/>
      <w:r w:rsidR="00DA4A09">
        <w:t xml:space="preserve">, in connection with </w:t>
      </w:r>
      <w:proofErr w:type="spellStart"/>
      <w:r w:rsidR="002E7CC0">
        <w:t>TfNSW</w:t>
      </w:r>
      <w:r w:rsidR="003467D1">
        <w:t>’</w:t>
      </w:r>
      <w:r w:rsidR="00DA4A09">
        <w:t>s</w:t>
      </w:r>
      <w:proofErr w:type="spellEnd"/>
      <w:r w:rsidR="00DA4A09">
        <w:t xml:space="preserve"> decision to enter into this Head Agreement with the </w:t>
      </w:r>
      <w:r w:rsidR="00D82BC0">
        <w:t>Supplier</w:t>
      </w:r>
      <w:r w:rsidR="00DA4A09">
        <w:t>,</w:t>
      </w:r>
      <w:r w:rsidRPr="005E7162">
        <w:t xml:space="preserve"> was to the best of the Contactor</w:t>
      </w:r>
      <w:r w:rsidR="003467D1">
        <w:t>’</w:t>
      </w:r>
      <w:r w:rsidRPr="005E7162">
        <w:t>s knowledge and belief</w:t>
      </w:r>
      <w:r w:rsidR="00DA4A09">
        <w:t>,</w:t>
      </w:r>
      <w:r w:rsidRPr="005E7162">
        <w:t xml:space="preserve"> correct </w:t>
      </w:r>
      <w:r w:rsidR="00DA4A09">
        <w:t xml:space="preserve">and not misleading as at the date of this Head Agreement; </w:t>
      </w:r>
    </w:p>
    <w:p w14:paraId="53B99498" w14:textId="63F9BFB3" w:rsidR="002B1B2C" w:rsidRDefault="00DA4A09" w:rsidP="00612E49">
      <w:pPr>
        <w:pStyle w:val="Heading3"/>
      </w:pPr>
      <w:r>
        <w:t xml:space="preserve">it is not aware of any information which, if it had provided that information to </w:t>
      </w:r>
      <w:proofErr w:type="spellStart"/>
      <w:r w:rsidR="002E7CC0">
        <w:t>TfNSW</w:t>
      </w:r>
      <w:proofErr w:type="spellEnd"/>
      <w:r>
        <w:t xml:space="preserve">, may have had a material effect on the decision made by </w:t>
      </w:r>
      <w:proofErr w:type="spellStart"/>
      <w:r w:rsidR="002E7CC0">
        <w:t>TfNSW</w:t>
      </w:r>
      <w:proofErr w:type="spellEnd"/>
      <w:r>
        <w:t xml:space="preserve"> to enter into this Head Agreement with the </w:t>
      </w:r>
      <w:r w:rsidR="00D82BC0">
        <w:t>Supplier</w:t>
      </w:r>
      <w:r>
        <w:t xml:space="preserve">; </w:t>
      </w:r>
    </w:p>
    <w:p w14:paraId="0A34C559" w14:textId="77777777" w:rsidR="00D82BC0" w:rsidRDefault="002B1B2C" w:rsidP="00612E49">
      <w:pPr>
        <w:pStyle w:val="Heading3"/>
      </w:pPr>
      <w:proofErr w:type="gramStart"/>
      <w:r>
        <w:t>the</w:t>
      </w:r>
      <w:proofErr w:type="gramEnd"/>
      <w:r>
        <w:t xml:space="preserve"> office holders of the Supplier and any Associate of the Supplier are of good fame and character; </w:t>
      </w:r>
    </w:p>
    <w:p w14:paraId="6A658F46" w14:textId="4FF14500" w:rsidR="00134FD9" w:rsidRPr="005E7162" w:rsidRDefault="00D82BC0" w:rsidP="00612E49">
      <w:pPr>
        <w:pStyle w:val="Heading3"/>
      </w:pPr>
      <w:r>
        <w:t xml:space="preserve">as at the date of its execution of this Head Agreement, neither the Supplier, any entity that it owns or controls or, to the best of its knowledge, any subcontractor of the Supplier, has been convicted of a Modern Slavery Offence; </w:t>
      </w:r>
      <w:r w:rsidR="00DA4A09">
        <w:t>and</w:t>
      </w:r>
    </w:p>
    <w:p w14:paraId="5536641E" w14:textId="7F3C2AFD" w:rsidR="00134FD9" w:rsidRPr="005E7162" w:rsidRDefault="00134FD9" w:rsidP="00612E49">
      <w:pPr>
        <w:pStyle w:val="Heading3"/>
      </w:pPr>
      <w:proofErr w:type="gramStart"/>
      <w:r w:rsidRPr="005E7162">
        <w:t>the</w:t>
      </w:r>
      <w:proofErr w:type="gramEnd"/>
      <w:r w:rsidRPr="005E7162">
        <w:t xml:space="preserve"> </w:t>
      </w:r>
      <w:r w:rsidR="00D82BC0">
        <w:t>Supplier</w:t>
      </w:r>
      <w:r w:rsidR="00BD3DB7">
        <w:t xml:space="preserve"> </w:t>
      </w:r>
      <w:r w:rsidRPr="005E7162">
        <w:t xml:space="preserve">has </w:t>
      </w:r>
      <w:bookmarkStart w:id="77" w:name="_Hlk10037513"/>
      <w:r w:rsidRPr="005E7162">
        <w:t xml:space="preserve">all the necessary licences, approvals and consents </w:t>
      </w:r>
      <w:bookmarkEnd w:id="77"/>
      <w:r w:rsidRPr="005E7162">
        <w:t>necessary to perform its obligat</w:t>
      </w:r>
      <w:r w:rsidR="00DA4A09">
        <w:t>ions under this Head Agreement.</w:t>
      </w:r>
    </w:p>
    <w:p w14:paraId="22ABBE1F" w14:textId="77777777" w:rsidR="0091511A" w:rsidRDefault="0091511A" w:rsidP="00DA4A09">
      <w:pPr>
        <w:pStyle w:val="Heading1"/>
      </w:pPr>
      <w:bookmarkStart w:id="78" w:name="_Ref10666377"/>
      <w:bookmarkStart w:id="79" w:name="_Toc15419247"/>
      <w:r>
        <w:t>Confidentiality</w:t>
      </w:r>
      <w:bookmarkEnd w:id="78"/>
      <w:bookmarkEnd w:id="79"/>
    </w:p>
    <w:p w14:paraId="31A98254" w14:textId="44F02084" w:rsidR="007A0A0A" w:rsidRPr="003628E0" w:rsidRDefault="007A0A0A" w:rsidP="00DA4A09">
      <w:pPr>
        <w:pStyle w:val="Heading3"/>
      </w:pPr>
      <w:bookmarkStart w:id="80" w:name="_Ref10560180"/>
      <w:r w:rsidRPr="003628E0">
        <w:t>Where either party (</w:t>
      </w:r>
      <w:r w:rsidRPr="00975A06">
        <w:rPr>
          <w:b/>
        </w:rPr>
        <w:t>Recipient</w:t>
      </w:r>
      <w:r w:rsidRPr="003628E0">
        <w:t xml:space="preserve">) receives </w:t>
      </w:r>
      <w:r w:rsidR="002B1B2C">
        <w:t xml:space="preserve">or otherwise possesses Confidential Information of </w:t>
      </w:r>
      <w:r w:rsidRPr="003628E0">
        <w:t xml:space="preserve">the other </w:t>
      </w:r>
      <w:r w:rsidR="00CE4B94">
        <w:t xml:space="preserve">party </w:t>
      </w:r>
      <w:r w:rsidRPr="003628E0">
        <w:t>(</w:t>
      </w:r>
      <w:r w:rsidRPr="00975A06">
        <w:rPr>
          <w:b/>
        </w:rPr>
        <w:t>Discloser</w:t>
      </w:r>
      <w:r w:rsidRPr="003628E0">
        <w:t>), the Recipient must:</w:t>
      </w:r>
      <w:bookmarkEnd w:id="80"/>
      <w:r w:rsidRPr="003628E0">
        <w:t xml:space="preserve"> </w:t>
      </w:r>
    </w:p>
    <w:p w14:paraId="4EF9ACE7" w14:textId="77777777" w:rsidR="007A0A0A" w:rsidRPr="003628E0" w:rsidRDefault="007A0A0A" w:rsidP="00DA4A09">
      <w:pPr>
        <w:pStyle w:val="Heading4"/>
      </w:pPr>
      <w:proofErr w:type="gramStart"/>
      <w:r w:rsidRPr="003628E0">
        <w:t>keep</w:t>
      </w:r>
      <w:proofErr w:type="gramEnd"/>
      <w:r w:rsidRPr="003628E0">
        <w:t xml:space="preserve"> it confidential; </w:t>
      </w:r>
    </w:p>
    <w:p w14:paraId="5B6AF255" w14:textId="77777777" w:rsidR="007A0A0A" w:rsidRPr="003628E0" w:rsidRDefault="007A0A0A" w:rsidP="00DA4A09">
      <w:pPr>
        <w:pStyle w:val="Heading4"/>
      </w:pPr>
      <w:proofErr w:type="gramStart"/>
      <w:r w:rsidRPr="003628E0">
        <w:t>only</w:t>
      </w:r>
      <w:proofErr w:type="gramEnd"/>
      <w:r w:rsidRPr="003628E0">
        <w:t xml:space="preserve"> use it where required to </w:t>
      </w:r>
      <w:r>
        <w:t>exercise its rights or perform its obligations under this Head Agreement</w:t>
      </w:r>
      <w:r w:rsidRPr="003628E0">
        <w:t>; and</w:t>
      </w:r>
    </w:p>
    <w:p w14:paraId="30DF8D9B" w14:textId="77777777" w:rsidR="007A0A0A" w:rsidRPr="003628E0" w:rsidRDefault="007A0A0A" w:rsidP="00DA4A09">
      <w:pPr>
        <w:pStyle w:val="Heading4"/>
      </w:pPr>
      <w:proofErr w:type="gramStart"/>
      <w:r w:rsidRPr="003628E0">
        <w:t>not</w:t>
      </w:r>
      <w:proofErr w:type="gramEnd"/>
      <w:r w:rsidRPr="003628E0">
        <w:t xml:space="preserve"> disclose it to anyone other than:</w:t>
      </w:r>
    </w:p>
    <w:p w14:paraId="0B484E46" w14:textId="1BC44310" w:rsidR="007A0A0A" w:rsidRPr="003628E0" w:rsidRDefault="007A0A0A" w:rsidP="00DA4A09">
      <w:pPr>
        <w:pStyle w:val="Heading5"/>
      </w:pPr>
      <w:proofErr w:type="gramStart"/>
      <w:r w:rsidRPr="003628E0">
        <w:t>with</w:t>
      </w:r>
      <w:proofErr w:type="gramEnd"/>
      <w:r w:rsidRPr="003628E0">
        <w:t xml:space="preserve"> the prior consent of the Discloser on condition that the subsequent recipient is bound by the same</w:t>
      </w:r>
      <w:r>
        <w:t xml:space="preserve"> or substantively equivalent</w:t>
      </w:r>
      <w:r w:rsidRPr="003628E0">
        <w:t xml:space="preserve"> confidentiality requirements; </w:t>
      </w:r>
    </w:p>
    <w:p w14:paraId="6FEF9A89" w14:textId="08B4346B" w:rsidR="007A0A0A" w:rsidRPr="00445FDB" w:rsidRDefault="007A0A0A" w:rsidP="00DA4A09">
      <w:pPr>
        <w:pStyle w:val="Heading5"/>
      </w:pPr>
      <w:proofErr w:type="gramStart"/>
      <w:r w:rsidRPr="003628E0">
        <w:t>where</w:t>
      </w:r>
      <w:proofErr w:type="gramEnd"/>
      <w:r w:rsidRPr="003628E0">
        <w:t xml:space="preserve"> required by the </w:t>
      </w:r>
      <w:r w:rsidRPr="008B26A3">
        <w:rPr>
          <w:i/>
        </w:rPr>
        <w:t>Government Information (Public Access) Act 2009</w:t>
      </w:r>
      <w:r w:rsidRPr="003628E0">
        <w:t xml:space="preserve"> (NSW) (or any other similar </w:t>
      </w:r>
      <w:r w:rsidR="00C05C46">
        <w:t>Law</w:t>
      </w:r>
      <w:r w:rsidRPr="003628E0">
        <w:t xml:space="preserve">s) which may require </w:t>
      </w:r>
      <w:proofErr w:type="spellStart"/>
      <w:r w:rsidR="002E7CC0">
        <w:t>TfNSW</w:t>
      </w:r>
      <w:proofErr w:type="spellEnd"/>
      <w:r w:rsidR="00272F31">
        <w:t xml:space="preserve"> </w:t>
      </w:r>
      <w:r w:rsidRPr="003628E0">
        <w:t xml:space="preserve">to publish or disclose certain information concerning </w:t>
      </w:r>
      <w:r>
        <w:t xml:space="preserve">this </w:t>
      </w:r>
      <w:r w:rsidR="00272F31">
        <w:t>Head Agreement</w:t>
      </w:r>
      <w:r>
        <w:t>;</w:t>
      </w:r>
    </w:p>
    <w:p w14:paraId="56086212" w14:textId="77777777" w:rsidR="007A0A0A" w:rsidRPr="003628E0" w:rsidRDefault="007A0A0A" w:rsidP="00DA4A09">
      <w:pPr>
        <w:pStyle w:val="Heading5"/>
      </w:pPr>
      <w:r w:rsidRPr="003628E0">
        <w:lastRenderedPageBreak/>
        <w:t xml:space="preserve">where required by any other applicable </w:t>
      </w:r>
      <w:r w:rsidR="00C05C46">
        <w:t>Law</w:t>
      </w:r>
      <w:r w:rsidRPr="003628E0">
        <w:t>s, provided that the Recipient gives the Discloser reasonable notice of any such legal requirement or order to enable the Discloser to seek a protective order or other appropriate remedy (unless it would be in violation of a court order</w:t>
      </w:r>
      <w:r>
        <w:t xml:space="preserve"> or other legal requirement); </w:t>
      </w:r>
    </w:p>
    <w:p w14:paraId="18923342" w14:textId="6461A75B" w:rsidR="007A0A0A" w:rsidRDefault="007A0A0A" w:rsidP="00DA4A09">
      <w:pPr>
        <w:pStyle w:val="Heading5"/>
      </w:pPr>
      <w:proofErr w:type="gramStart"/>
      <w:r>
        <w:rPr>
          <w:szCs w:val="22"/>
        </w:rPr>
        <w:t>in</w:t>
      </w:r>
      <w:proofErr w:type="gramEnd"/>
      <w:r>
        <w:rPr>
          <w:szCs w:val="22"/>
        </w:rPr>
        <w:t xml:space="preserve"> </w:t>
      </w:r>
      <w:r w:rsidRPr="003B0CAC">
        <w:t xml:space="preserve">the case of </w:t>
      </w:r>
      <w:proofErr w:type="spellStart"/>
      <w:r w:rsidR="002E7CC0">
        <w:t>TfNSW</w:t>
      </w:r>
      <w:proofErr w:type="spellEnd"/>
      <w:r w:rsidRPr="003B0CAC">
        <w:t>, to</w:t>
      </w:r>
      <w:r>
        <w:t>:</w:t>
      </w:r>
    </w:p>
    <w:p w14:paraId="3BC534C8" w14:textId="2D839DF4" w:rsidR="007A0A0A" w:rsidRDefault="000F219F" w:rsidP="00F679F9">
      <w:pPr>
        <w:pStyle w:val="Heading5"/>
        <w:numPr>
          <w:ilvl w:val="0"/>
          <w:numId w:val="7"/>
        </w:numPr>
        <w:ind w:left="3682" w:hanging="847"/>
      </w:pPr>
      <w:proofErr w:type="gramStart"/>
      <w:r>
        <w:t>an</w:t>
      </w:r>
      <w:proofErr w:type="gramEnd"/>
      <w:r>
        <w:t xml:space="preserve"> </w:t>
      </w:r>
      <w:r w:rsidR="004202A4">
        <w:t>Eligible Customer</w:t>
      </w:r>
      <w:r w:rsidR="00A17CB5">
        <w:t xml:space="preserve">, including the </w:t>
      </w:r>
      <w:r w:rsidR="00A61A0B">
        <w:t xml:space="preserve">head of agency and </w:t>
      </w:r>
      <w:r w:rsidR="00A17CB5">
        <w:t xml:space="preserve">responsible Minister of any </w:t>
      </w:r>
      <w:r w:rsidR="004202A4">
        <w:t>Eligible Customer</w:t>
      </w:r>
      <w:r w:rsidR="007A0A0A">
        <w:t>;</w:t>
      </w:r>
      <w:r>
        <w:t xml:space="preserve"> or </w:t>
      </w:r>
    </w:p>
    <w:p w14:paraId="1786B347" w14:textId="69B680C4" w:rsidR="007A0A0A" w:rsidRDefault="002B1B2C" w:rsidP="00F679F9">
      <w:pPr>
        <w:pStyle w:val="Heading5"/>
        <w:numPr>
          <w:ilvl w:val="0"/>
          <w:numId w:val="7"/>
        </w:numPr>
        <w:ind w:left="3682" w:hanging="847"/>
      </w:pPr>
      <w:r>
        <w:t>without limiting (1), any Eligible non-Government Body</w:t>
      </w:r>
      <w:r w:rsidR="007A0A0A">
        <w:rPr>
          <w:spacing w:val="-1"/>
        </w:rPr>
        <w:t>,</w:t>
      </w:r>
      <w:r w:rsidR="007A0A0A">
        <w:t xml:space="preserve"> </w:t>
      </w:r>
      <w:r w:rsidR="007A0A0A">
        <w:rPr>
          <w:spacing w:val="-1"/>
        </w:rPr>
        <w:t>for</w:t>
      </w:r>
      <w:r w:rsidR="007A0A0A">
        <w:rPr>
          <w:spacing w:val="7"/>
        </w:rPr>
        <w:t xml:space="preserve"> </w:t>
      </w:r>
      <w:r w:rsidR="007A0A0A">
        <w:rPr>
          <w:spacing w:val="-1"/>
        </w:rPr>
        <w:t>the</w:t>
      </w:r>
      <w:r w:rsidR="007A0A0A">
        <w:rPr>
          <w:spacing w:val="3"/>
        </w:rPr>
        <w:t xml:space="preserve"> </w:t>
      </w:r>
      <w:r w:rsidR="007A0A0A">
        <w:rPr>
          <w:spacing w:val="-1"/>
        </w:rPr>
        <w:t>purposes</w:t>
      </w:r>
      <w:r w:rsidR="007A0A0A">
        <w:rPr>
          <w:spacing w:val="3"/>
        </w:rPr>
        <w:t xml:space="preserve"> </w:t>
      </w:r>
      <w:r w:rsidR="007A0A0A">
        <w:rPr>
          <w:spacing w:val="-1"/>
        </w:rPr>
        <w:t>of</w:t>
      </w:r>
      <w:r w:rsidR="007A0A0A">
        <w:rPr>
          <w:spacing w:val="7"/>
        </w:rPr>
        <w:t xml:space="preserve"> </w:t>
      </w:r>
      <w:r w:rsidR="007A0A0A">
        <w:rPr>
          <w:spacing w:val="-2"/>
        </w:rPr>
        <w:t>such</w:t>
      </w:r>
      <w:r w:rsidR="007A0A0A">
        <w:rPr>
          <w:spacing w:val="6"/>
        </w:rPr>
        <w:t xml:space="preserve"> </w:t>
      </w:r>
      <w:r w:rsidR="005645D1">
        <w:rPr>
          <w:spacing w:val="-1"/>
        </w:rPr>
        <w:t>R</w:t>
      </w:r>
      <w:r w:rsidR="007A0A0A">
        <w:rPr>
          <w:spacing w:val="-1"/>
        </w:rPr>
        <w:t>ecipient</w:t>
      </w:r>
      <w:r w:rsidR="007A0A0A">
        <w:t xml:space="preserve"> assessing</w:t>
      </w:r>
      <w:r w:rsidR="007A0A0A">
        <w:rPr>
          <w:spacing w:val="4"/>
        </w:rPr>
        <w:t xml:space="preserve"> </w:t>
      </w:r>
      <w:r w:rsidR="007A0A0A">
        <w:rPr>
          <w:spacing w:val="-1"/>
        </w:rPr>
        <w:t>the</w:t>
      </w:r>
      <w:r w:rsidR="007A0A0A">
        <w:rPr>
          <w:spacing w:val="3"/>
        </w:rPr>
        <w:t xml:space="preserve"> </w:t>
      </w:r>
      <w:r w:rsidR="007A0A0A">
        <w:rPr>
          <w:spacing w:val="-1"/>
        </w:rPr>
        <w:t>terms</w:t>
      </w:r>
      <w:r w:rsidR="007A0A0A">
        <w:rPr>
          <w:spacing w:val="2"/>
        </w:rPr>
        <w:t xml:space="preserve"> </w:t>
      </w:r>
      <w:r w:rsidR="007A0A0A">
        <w:rPr>
          <w:spacing w:val="-1"/>
        </w:rPr>
        <w:t>of</w:t>
      </w:r>
      <w:r w:rsidR="007A0A0A">
        <w:rPr>
          <w:spacing w:val="2"/>
        </w:rPr>
        <w:t xml:space="preserve"> </w:t>
      </w:r>
      <w:r>
        <w:rPr>
          <w:spacing w:val="2"/>
        </w:rPr>
        <w:t xml:space="preserve">or managing </w:t>
      </w:r>
      <w:r w:rsidR="007A0A0A">
        <w:rPr>
          <w:spacing w:val="-1"/>
        </w:rPr>
        <w:t>its</w:t>
      </w:r>
      <w:r w:rsidR="007A0A0A">
        <w:rPr>
          <w:spacing w:val="7"/>
        </w:rPr>
        <w:t xml:space="preserve"> </w:t>
      </w:r>
      <w:r w:rsidR="007A0A0A">
        <w:rPr>
          <w:spacing w:val="-1"/>
        </w:rPr>
        <w:t>own</w:t>
      </w:r>
      <w:r w:rsidR="007A0A0A">
        <w:rPr>
          <w:spacing w:val="2"/>
        </w:rPr>
        <w:t xml:space="preserve"> </w:t>
      </w:r>
      <w:r w:rsidR="007A0A0A">
        <w:rPr>
          <w:spacing w:val="-1"/>
        </w:rPr>
        <w:t>contracts</w:t>
      </w:r>
      <w:r w:rsidR="007A0A0A">
        <w:rPr>
          <w:spacing w:val="59"/>
        </w:rPr>
        <w:t xml:space="preserve"> </w:t>
      </w:r>
      <w:r w:rsidR="007A0A0A">
        <w:rPr>
          <w:spacing w:val="-1"/>
        </w:rPr>
        <w:t>(or</w:t>
      </w:r>
      <w:r w:rsidR="007A0A0A">
        <w:rPr>
          <w:spacing w:val="-2"/>
        </w:rPr>
        <w:t xml:space="preserve"> </w:t>
      </w:r>
      <w:r w:rsidR="007A0A0A">
        <w:rPr>
          <w:spacing w:val="-1"/>
        </w:rPr>
        <w:t>proposed</w:t>
      </w:r>
      <w:r w:rsidR="007A0A0A">
        <w:rPr>
          <w:spacing w:val="-3"/>
        </w:rPr>
        <w:t xml:space="preserve"> </w:t>
      </w:r>
      <w:r w:rsidR="007A0A0A">
        <w:rPr>
          <w:spacing w:val="-1"/>
        </w:rPr>
        <w:t>contracts)</w:t>
      </w:r>
      <w:r w:rsidR="007A0A0A">
        <w:rPr>
          <w:spacing w:val="-2"/>
        </w:rPr>
        <w:t xml:space="preserve"> </w:t>
      </w:r>
      <w:r w:rsidR="007A0A0A">
        <w:t>with</w:t>
      </w:r>
      <w:r w:rsidR="007A0A0A">
        <w:rPr>
          <w:spacing w:val="-3"/>
        </w:rPr>
        <w:t xml:space="preserve"> </w:t>
      </w:r>
      <w:r w:rsidR="007A0A0A">
        <w:rPr>
          <w:spacing w:val="-1"/>
        </w:rPr>
        <w:t>the</w:t>
      </w:r>
      <w:r w:rsidR="007A0A0A">
        <w:rPr>
          <w:spacing w:val="-2"/>
        </w:rPr>
        <w:t xml:space="preserve"> </w:t>
      </w:r>
      <w:r w:rsidR="00D82BC0">
        <w:rPr>
          <w:spacing w:val="-1"/>
        </w:rPr>
        <w:t>Supplier</w:t>
      </w:r>
      <w:r w:rsidR="007A0A0A">
        <w:rPr>
          <w:spacing w:val="-2"/>
        </w:rPr>
        <w:t xml:space="preserve"> </w:t>
      </w:r>
      <w:r w:rsidR="007A0A0A">
        <w:rPr>
          <w:spacing w:val="-1"/>
        </w:rPr>
        <w:t>or</w:t>
      </w:r>
      <w:r w:rsidR="007A0A0A">
        <w:rPr>
          <w:spacing w:val="-2"/>
        </w:rPr>
        <w:t xml:space="preserve"> </w:t>
      </w:r>
      <w:r w:rsidR="007A0A0A">
        <w:rPr>
          <w:spacing w:val="-1"/>
        </w:rPr>
        <w:t>any</w:t>
      </w:r>
      <w:r w:rsidR="007A0A0A">
        <w:rPr>
          <w:spacing w:val="3"/>
        </w:rPr>
        <w:t xml:space="preserve"> </w:t>
      </w:r>
      <w:r w:rsidR="007A0A0A">
        <w:rPr>
          <w:spacing w:val="-1"/>
        </w:rPr>
        <w:t>other</w:t>
      </w:r>
      <w:r w:rsidR="007A0A0A">
        <w:rPr>
          <w:spacing w:val="-2"/>
        </w:rPr>
        <w:t xml:space="preserve"> </w:t>
      </w:r>
      <w:r w:rsidR="007A0A0A">
        <w:t>third</w:t>
      </w:r>
      <w:r w:rsidR="007A0A0A">
        <w:rPr>
          <w:spacing w:val="-3"/>
        </w:rPr>
        <w:t xml:space="preserve"> </w:t>
      </w:r>
      <w:r w:rsidR="007A0A0A">
        <w:t>party; or</w:t>
      </w:r>
    </w:p>
    <w:p w14:paraId="25985D5F" w14:textId="14C6B2D8" w:rsidR="007A0A0A" w:rsidRPr="003B0CAC" w:rsidRDefault="007A0A0A" w:rsidP="00F679F9">
      <w:pPr>
        <w:pStyle w:val="Heading5"/>
        <w:numPr>
          <w:ilvl w:val="0"/>
          <w:numId w:val="7"/>
        </w:numPr>
        <w:ind w:left="3682" w:hanging="847"/>
      </w:pPr>
      <w:r>
        <w:t xml:space="preserve">a third party that purchases services similar to the </w:t>
      </w:r>
      <w:r w:rsidR="001E2709">
        <w:t xml:space="preserve">Approved </w:t>
      </w:r>
      <w:r w:rsidR="002E7CC0">
        <w:t>Digital Engineering Service</w:t>
      </w:r>
      <w:r>
        <w:t>s on behalf of a Government Agency;</w:t>
      </w:r>
      <w:r w:rsidR="000F219F">
        <w:t xml:space="preserve"> and </w:t>
      </w:r>
    </w:p>
    <w:p w14:paraId="6142D04A" w14:textId="355EBD1F" w:rsidR="007A0A0A" w:rsidRPr="002D1AC9" w:rsidRDefault="007A0A0A" w:rsidP="00965C2F">
      <w:pPr>
        <w:pStyle w:val="Heading5"/>
        <w:tabs>
          <w:tab w:val="clear" w:pos="2268"/>
          <w:tab w:val="num" w:pos="2410"/>
        </w:tabs>
        <w:ind w:left="2977"/>
        <w:rPr>
          <w:rFonts w:eastAsia="Calibri" w:cs="Calibri"/>
          <w:szCs w:val="22"/>
        </w:rPr>
      </w:pPr>
      <w:r>
        <w:t xml:space="preserve">to </w:t>
      </w:r>
      <w:r w:rsidR="000F219F">
        <w:t>its</w:t>
      </w:r>
      <w:r>
        <w:t xml:space="preserve"> Personnel, directors, officers, employees, agents, contractors, lawyers, accountants, insurers, financiers and other professional advisers where the disclosure is in connection with advising on, reporting on, or facilitating the party</w:t>
      </w:r>
      <w:r w:rsidR="003467D1">
        <w:t>’</w:t>
      </w:r>
      <w:r>
        <w:t xml:space="preserve">s </w:t>
      </w:r>
      <w:r w:rsidR="00A17CB5">
        <w:t xml:space="preserve">exercise </w:t>
      </w:r>
      <w:r w:rsidR="004202A4">
        <w:t xml:space="preserve">of </w:t>
      </w:r>
      <w:r w:rsidR="00A17CB5">
        <w:t>its rights or perform</w:t>
      </w:r>
      <w:r w:rsidR="004202A4">
        <w:t>ance of</w:t>
      </w:r>
      <w:r w:rsidR="00A17CB5">
        <w:t xml:space="preserve"> its obligations under this Head Agreement</w:t>
      </w:r>
      <w:r w:rsidR="000F219F">
        <w:rPr>
          <w:szCs w:val="22"/>
        </w:rPr>
        <w:t>.</w:t>
      </w:r>
    </w:p>
    <w:p w14:paraId="5B3D8B5C" w14:textId="059C2580" w:rsidR="00122558" w:rsidRPr="003628E0" w:rsidRDefault="001E2709" w:rsidP="00DA4A09">
      <w:pPr>
        <w:pStyle w:val="Heading3"/>
      </w:pPr>
      <w:r>
        <w:t xml:space="preserve">The </w:t>
      </w:r>
      <w:r w:rsidR="00D82BC0">
        <w:t>Supplier</w:t>
      </w:r>
      <w:r>
        <w:t xml:space="preserve"> must not</w:t>
      </w:r>
      <w:r w:rsidR="007A0A0A" w:rsidRPr="003628E0">
        <w:t xml:space="preserve"> issue any press release or make any other</w:t>
      </w:r>
      <w:r w:rsidR="007A0A0A">
        <w:t xml:space="preserve"> public statement regarding this </w:t>
      </w:r>
      <w:r w:rsidR="000F219F">
        <w:t xml:space="preserve">Head Agreement </w:t>
      </w:r>
      <w:r w:rsidR="007A0A0A">
        <w:t xml:space="preserve">or the </w:t>
      </w:r>
      <w:r>
        <w:t xml:space="preserve">Approved </w:t>
      </w:r>
      <w:r w:rsidR="002E7CC0">
        <w:t>Digital Engineering Service</w:t>
      </w:r>
      <w:r w:rsidR="007A0A0A" w:rsidRPr="003628E0">
        <w:t xml:space="preserve">s without the prior consent of </w:t>
      </w:r>
      <w:proofErr w:type="spellStart"/>
      <w:r>
        <w:t>TfNSW</w:t>
      </w:r>
      <w:proofErr w:type="spellEnd"/>
      <w:r w:rsidR="007A0A0A" w:rsidRPr="003628E0">
        <w:t xml:space="preserve">, except as required by </w:t>
      </w:r>
      <w:r w:rsidR="00C05C46">
        <w:t>Law</w:t>
      </w:r>
      <w:r w:rsidR="007A0A0A" w:rsidRPr="003628E0">
        <w:t>.</w:t>
      </w:r>
    </w:p>
    <w:p w14:paraId="63183883" w14:textId="5528E586" w:rsidR="00D224EE" w:rsidRDefault="002E7CC0" w:rsidP="00DA4A09">
      <w:pPr>
        <w:pStyle w:val="Heading1"/>
      </w:pPr>
      <w:bookmarkStart w:id="81" w:name="_Ref10666170"/>
      <w:bookmarkStart w:id="82" w:name="_Toc15419248"/>
      <w:proofErr w:type="spellStart"/>
      <w:r>
        <w:t>TfNSW</w:t>
      </w:r>
      <w:proofErr w:type="spellEnd"/>
      <w:r w:rsidR="009E4CB3" w:rsidRPr="00312F6D">
        <w:t xml:space="preserve"> </w:t>
      </w:r>
      <w:r w:rsidR="00D224EE">
        <w:t>Data and Security</w:t>
      </w:r>
      <w:bookmarkEnd w:id="81"/>
      <w:bookmarkEnd w:id="82"/>
    </w:p>
    <w:p w14:paraId="333CEF9A" w14:textId="040BE517" w:rsidR="009E4CB3" w:rsidRDefault="002E7CC0" w:rsidP="00DA4A09">
      <w:pPr>
        <w:pStyle w:val="Heading2"/>
      </w:pPr>
      <w:bookmarkStart w:id="83" w:name="_Toc15419249"/>
      <w:proofErr w:type="spellStart"/>
      <w:r>
        <w:t>TfNSW</w:t>
      </w:r>
      <w:proofErr w:type="spellEnd"/>
      <w:r w:rsidR="009E4CB3" w:rsidRPr="00312F6D">
        <w:t xml:space="preserve"> </w:t>
      </w:r>
      <w:r w:rsidR="009E4CB3">
        <w:t>Data</w:t>
      </w:r>
      <w:bookmarkEnd w:id="83"/>
    </w:p>
    <w:p w14:paraId="43C0C402" w14:textId="52574B68" w:rsidR="00FE5A9B" w:rsidRDefault="00FE5A9B" w:rsidP="00DA4A09">
      <w:pPr>
        <w:pStyle w:val="Heading3"/>
      </w:pPr>
      <w:bookmarkStart w:id="84" w:name="_Hlk10017470"/>
      <w:r>
        <w:t xml:space="preserve">The </w:t>
      </w:r>
      <w:r w:rsidR="00D82BC0">
        <w:t>Supplier</w:t>
      </w:r>
      <w:r>
        <w:t xml:space="preserve"> agrees that:</w:t>
      </w:r>
    </w:p>
    <w:p w14:paraId="552C4B21" w14:textId="49D5971F" w:rsidR="00FE5A9B" w:rsidRDefault="00FE5A9B" w:rsidP="00DA4A09">
      <w:pPr>
        <w:pStyle w:val="Heading4"/>
      </w:pPr>
      <w:proofErr w:type="gramStart"/>
      <w:r w:rsidRPr="00312F6D">
        <w:t>all</w:t>
      </w:r>
      <w:proofErr w:type="gramEnd"/>
      <w:r w:rsidRPr="00312F6D">
        <w:t xml:space="preserve"> </w:t>
      </w:r>
      <w:proofErr w:type="spellStart"/>
      <w:r w:rsidR="002E7CC0">
        <w:t>TfNSW</w:t>
      </w:r>
      <w:proofErr w:type="spellEnd"/>
      <w:r>
        <w:t xml:space="preserve"> </w:t>
      </w:r>
      <w:r w:rsidRPr="00312F6D">
        <w:t>D</w:t>
      </w:r>
      <w:r>
        <w:t xml:space="preserve">ata is owned by </w:t>
      </w:r>
      <w:proofErr w:type="spellStart"/>
      <w:r w:rsidR="002E7CC0">
        <w:t>TfNSW</w:t>
      </w:r>
      <w:proofErr w:type="spellEnd"/>
      <w:r w:rsidR="002B1B2C">
        <w:t xml:space="preserve"> or an Eligible Customer</w:t>
      </w:r>
      <w:r>
        <w:t>; and</w:t>
      </w:r>
    </w:p>
    <w:p w14:paraId="1F4B18FE" w14:textId="609E11EE" w:rsidR="00FE5A9B" w:rsidRDefault="002E7CC0" w:rsidP="00DA4A09">
      <w:pPr>
        <w:pStyle w:val="Heading4"/>
      </w:pPr>
      <w:proofErr w:type="spellStart"/>
      <w:r>
        <w:t>TfNSW</w:t>
      </w:r>
      <w:proofErr w:type="spellEnd"/>
      <w:r w:rsidR="002F2129">
        <w:t xml:space="preserve"> </w:t>
      </w:r>
      <w:r w:rsidR="00FE5A9B">
        <w:t xml:space="preserve">Data is </w:t>
      </w:r>
      <w:proofErr w:type="spellStart"/>
      <w:r>
        <w:t>TfNSW</w:t>
      </w:r>
      <w:r w:rsidR="003467D1">
        <w:t>’</w:t>
      </w:r>
      <w:r w:rsidR="002F2129">
        <w:t>s</w:t>
      </w:r>
      <w:proofErr w:type="spellEnd"/>
      <w:r w:rsidR="002F2129">
        <w:t xml:space="preserve"> </w:t>
      </w:r>
      <w:r w:rsidR="00FE5A9B" w:rsidRPr="00312F6D">
        <w:t xml:space="preserve">Confidential Information. </w:t>
      </w:r>
      <w:r w:rsidR="00FE5A9B">
        <w:t xml:space="preserve"> </w:t>
      </w:r>
    </w:p>
    <w:bookmarkEnd w:id="84"/>
    <w:p w14:paraId="5E9C24C6" w14:textId="2535A0AE" w:rsidR="002B1B2C" w:rsidRDefault="002B1B2C" w:rsidP="00DA4A09">
      <w:pPr>
        <w:pStyle w:val="Heading3"/>
      </w:pPr>
      <w:r>
        <w:t>The Supplier must not:</w:t>
      </w:r>
    </w:p>
    <w:p w14:paraId="1561E69D" w14:textId="4818C37B" w:rsidR="002B1B2C" w:rsidRDefault="002B1B2C" w:rsidP="002B1B2C">
      <w:pPr>
        <w:pStyle w:val="Heading4"/>
      </w:pPr>
      <w:proofErr w:type="gramStart"/>
      <w:r>
        <w:t>use</w:t>
      </w:r>
      <w:proofErr w:type="gramEnd"/>
      <w:r>
        <w:t xml:space="preserve"> any </w:t>
      </w:r>
      <w:proofErr w:type="spellStart"/>
      <w:r>
        <w:t>TfNSW</w:t>
      </w:r>
      <w:proofErr w:type="spellEnd"/>
      <w:r>
        <w:t xml:space="preserve"> Data to perform data analytics;</w:t>
      </w:r>
    </w:p>
    <w:p w14:paraId="4250CA61" w14:textId="5C03A50D" w:rsidR="002B1B2C" w:rsidRDefault="002B1B2C" w:rsidP="002B1B2C">
      <w:pPr>
        <w:pStyle w:val="Heading4"/>
      </w:pPr>
      <w:proofErr w:type="gramStart"/>
      <w:r>
        <w:t>perform</w:t>
      </w:r>
      <w:proofErr w:type="gramEnd"/>
      <w:r>
        <w:t xml:space="preserve"> any data analytics on </w:t>
      </w:r>
      <w:proofErr w:type="spellStart"/>
      <w:r>
        <w:t>TfNSW</w:t>
      </w:r>
      <w:proofErr w:type="spellEnd"/>
      <w:r>
        <w:t xml:space="preserve"> Data; or</w:t>
      </w:r>
    </w:p>
    <w:p w14:paraId="5C892BEB" w14:textId="126ADA92" w:rsidR="002B1B2C" w:rsidRDefault="002B1B2C" w:rsidP="002B1B2C">
      <w:pPr>
        <w:pStyle w:val="Heading4"/>
      </w:pPr>
      <w:proofErr w:type="gramStart"/>
      <w:r>
        <w:t>otherwise</w:t>
      </w:r>
      <w:proofErr w:type="gramEnd"/>
      <w:r>
        <w:t xml:space="preserve"> seek to manipulate or derive any data from any </w:t>
      </w:r>
      <w:proofErr w:type="spellStart"/>
      <w:r>
        <w:t>TfNSW</w:t>
      </w:r>
      <w:proofErr w:type="spellEnd"/>
      <w:r>
        <w:t xml:space="preserve"> Data</w:t>
      </w:r>
      <w:r w:rsidR="00C021BD">
        <w:t>.</w:t>
      </w:r>
    </w:p>
    <w:p w14:paraId="1F0A803F" w14:textId="1B39DCB1" w:rsidR="009E4CB3" w:rsidRPr="00312F6D" w:rsidRDefault="009E4CB3" w:rsidP="00DA4A09">
      <w:pPr>
        <w:pStyle w:val="Heading3"/>
      </w:pPr>
      <w:r>
        <w:t xml:space="preserve">If any </w:t>
      </w:r>
      <w:proofErr w:type="spellStart"/>
      <w:r w:rsidR="002E7CC0">
        <w:t>TfNSW</w:t>
      </w:r>
      <w:proofErr w:type="spellEnd"/>
      <w:r w:rsidRPr="00312F6D">
        <w:t xml:space="preserve"> </w:t>
      </w:r>
      <w:r>
        <w:t xml:space="preserve">Data is created by the </w:t>
      </w:r>
      <w:r w:rsidR="00D82BC0">
        <w:t>Supplier</w:t>
      </w:r>
      <w:r>
        <w:t xml:space="preserve">, then </w:t>
      </w:r>
      <w:r w:rsidR="002B1B2C">
        <w:t>ownership of all rights, title an</w:t>
      </w:r>
      <w:r w:rsidR="00475EBB">
        <w:t>d</w:t>
      </w:r>
      <w:r w:rsidR="002B1B2C">
        <w:t xml:space="preserve"> interest in that </w:t>
      </w:r>
      <w:proofErr w:type="spellStart"/>
      <w:r w:rsidR="002B1B2C">
        <w:t>TfNSW</w:t>
      </w:r>
      <w:proofErr w:type="spellEnd"/>
      <w:r w:rsidR="002B1B2C">
        <w:t xml:space="preserve"> Data (other than data supplied by an Eligible Customer) vests in </w:t>
      </w:r>
      <w:proofErr w:type="spellStart"/>
      <w:r w:rsidR="002B1B2C">
        <w:t>TfNSW</w:t>
      </w:r>
      <w:proofErr w:type="spellEnd"/>
      <w:r w:rsidR="002B1B2C">
        <w:t xml:space="preserve"> on creation and </w:t>
      </w:r>
      <w:r>
        <w:t xml:space="preserve">the </w:t>
      </w:r>
      <w:r w:rsidR="00D82BC0">
        <w:t>Supplier</w:t>
      </w:r>
      <w:r>
        <w:t xml:space="preserve"> hereby assigns all right</w:t>
      </w:r>
      <w:r w:rsidR="00311D14">
        <w:t>s</w:t>
      </w:r>
      <w:r>
        <w:t xml:space="preserve">, title and interest in </w:t>
      </w:r>
      <w:r w:rsidR="002B1B2C">
        <w:t>th</w:t>
      </w:r>
      <w:r w:rsidR="00C021BD">
        <w:t>at</w:t>
      </w:r>
      <w:r w:rsidR="002B1B2C">
        <w:t xml:space="preserve"> </w:t>
      </w:r>
      <w:proofErr w:type="spellStart"/>
      <w:r w:rsidR="002E7CC0">
        <w:t>TfNSW</w:t>
      </w:r>
      <w:proofErr w:type="spellEnd"/>
      <w:r w:rsidRPr="00312F6D">
        <w:t xml:space="preserve"> </w:t>
      </w:r>
      <w:r>
        <w:t xml:space="preserve">Data to </w:t>
      </w:r>
      <w:proofErr w:type="spellStart"/>
      <w:r w:rsidR="002E7CC0">
        <w:t>TfNSW</w:t>
      </w:r>
      <w:proofErr w:type="spellEnd"/>
      <w:r w:rsidRPr="00312F6D">
        <w:t xml:space="preserve"> </w:t>
      </w:r>
      <w:r>
        <w:t xml:space="preserve">on creation.  The </w:t>
      </w:r>
      <w:r w:rsidR="00D82BC0">
        <w:t>Supplier</w:t>
      </w:r>
      <w:r w:rsidR="002F2129">
        <w:t xml:space="preserve"> </w:t>
      </w:r>
      <w:r>
        <w:t xml:space="preserve">agrees to do all things necessary to </w:t>
      </w:r>
      <w:r w:rsidR="002B1B2C">
        <w:t xml:space="preserve">assign or </w:t>
      </w:r>
      <w:r>
        <w:t xml:space="preserve">vest ownership </w:t>
      </w:r>
      <w:r w:rsidR="002B1B2C">
        <w:t xml:space="preserve">of such </w:t>
      </w:r>
      <w:proofErr w:type="spellStart"/>
      <w:r w:rsidR="002E7CC0">
        <w:t>TfNSW</w:t>
      </w:r>
      <w:proofErr w:type="spellEnd"/>
      <w:r w:rsidRPr="00312F6D">
        <w:t xml:space="preserve"> </w:t>
      </w:r>
      <w:r>
        <w:t>Da</w:t>
      </w:r>
      <w:r w:rsidR="002F2129">
        <w:t xml:space="preserve">ta to </w:t>
      </w:r>
      <w:proofErr w:type="spellStart"/>
      <w:r w:rsidR="002E7CC0">
        <w:t>TfNSW</w:t>
      </w:r>
      <w:proofErr w:type="spellEnd"/>
      <w:r w:rsidR="002B1B2C">
        <w:t>, on creation</w:t>
      </w:r>
      <w:r w:rsidR="002F2129">
        <w:t>.</w:t>
      </w:r>
    </w:p>
    <w:p w14:paraId="70E6BEA9" w14:textId="2B2B6793" w:rsidR="000602FA" w:rsidRDefault="000602FA" w:rsidP="005D16EA">
      <w:pPr>
        <w:pStyle w:val="Heading2"/>
        <w:rPr>
          <w:rFonts w:eastAsiaTheme="minorHAnsi"/>
          <w:szCs w:val="22"/>
        </w:rPr>
      </w:pPr>
      <w:bookmarkStart w:id="85" w:name="_Toc9955565"/>
      <w:bookmarkStart w:id="86" w:name="_Ref10017791"/>
      <w:bookmarkStart w:id="87" w:name="_Toc15419250"/>
      <w:r>
        <w:t xml:space="preserve">Licence to use </w:t>
      </w:r>
      <w:proofErr w:type="spellStart"/>
      <w:r w:rsidR="002E7CC0">
        <w:t>TfNSW</w:t>
      </w:r>
      <w:proofErr w:type="spellEnd"/>
      <w:r w:rsidRPr="00312F6D">
        <w:t xml:space="preserve"> </w:t>
      </w:r>
      <w:r w:rsidRPr="0082278F">
        <w:rPr>
          <w:rFonts w:eastAsiaTheme="minorHAnsi"/>
          <w:szCs w:val="22"/>
        </w:rPr>
        <w:t>Data</w:t>
      </w:r>
      <w:bookmarkEnd w:id="85"/>
      <w:bookmarkEnd w:id="86"/>
      <w:bookmarkEnd w:id="87"/>
    </w:p>
    <w:p w14:paraId="5F2D4810" w14:textId="6DD4DA8C" w:rsidR="002F2129" w:rsidRDefault="002E7CC0" w:rsidP="005D16EA">
      <w:pPr>
        <w:pStyle w:val="Heading3"/>
      </w:pPr>
      <w:bookmarkStart w:id="88" w:name="_Ref10643194"/>
      <w:proofErr w:type="spellStart"/>
      <w:r>
        <w:t>TfNSW</w:t>
      </w:r>
      <w:proofErr w:type="spellEnd"/>
      <w:r w:rsidR="000602FA" w:rsidRPr="00312F6D">
        <w:t xml:space="preserve"> </w:t>
      </w:r>
      <w:r w:rsidR="000602FA">
        <w:t xml:space="preserve">grants </w:t>
      </w:r>
      <w:r w:rsidR="000602FA" w:rsidRPr="00675C6D">
        <w:t xml:space="preserve">the </w:t>
      </w:r>
      <w:r w:rsidR="00D82BC0">
        <w:t>Supplier</w:t>
      </w:r>
      <w:r w:rsidR="000602FA" w:rsidRPr="00675C6D">
        <w:t xml:space="preserve"> </w:t>
      </w:r>
      <w:r w:rsidR="000602FA">
        <w:t xml:space="preserve">a licence </w:t>
      </w:r>
      <w:r w:rsidR="000602FA" w:rsidRPr="00675C6D">
        <w:t xml:space="preserve">to </w:t>
      </w:r>
      <w:r w:rsidR="000602FA" w:rsidRPr="00EC6856">
        <w:t>use</w:t>
      </w:r>
      <w:r w:rsidR="000602FA" w:rsidRPr="00675C6D">
        <w:t xml:space="preserve"> </w:t>
      </w:r>
      <w:proofErr w:type="spellStart"/>
      <w:r>
        <w:t>TfNSW</w:t>
      </w:r>
      <w:proofErr w:type="spellEnd"/>
      <w:r w:rsidR="000602FA" w:rsidRPr="00312F6D">
        <w:t xml:space="preserve"> </w:t>
      </w:r>
      <w:r w:rsidR="000602FA">
        <w:t>Data</w:t>
      </w:r>
      <w:r w:rsidR="002F2129">
        <w:t xml:space="preserve"> for the sole pu</w:t>
      </w:r>
      <w:r w:rsidR="00E1281B">
        <w:t>r</w:t>
      </w:r>
      <w:r w:rsidR="002F2129">
        <w:t>pose of:</w:t>
      </w:r>
      <w:bookmarkEnd w:id="88"/>
    </w:p>
    <w:p w14:paraId="67327297" w14:textId="10CA69F9" w:rsidR="005D16EA" w:rsidRDefault="005D16EA" w:rsidP="002A5B47">
      <w:pPr>
        <w:pStyle w:val="Heading4"/>
      </w:pPr>
      <w:proofErr w:type="gramStart"/>
      <w:r>
        <w:lastRenderedPageBreak/>
        <w:t>entering</w:t>
      </w:r>
      <w:proofErr w:type="gramEnd"/>
      <w:r>
        <w:t xml:space="preserve"> into Customer Contracts and Orders with </w:t>
      </w:r>
      <w:r w:rsidR="004202A4">
        <w:t>Eligible Customer</w:t>
      </w:r>
      <w:r>
        <w:t>s; and</w:t>
      </w:r>
    </w:p>
    <w:p w14:paraId="1562F076" w14:textId="5E9B265B" w:rsidR="002F2129" w:rsidRDefault="002F2129" w:rsidP="005D16EA">
      <w:pPr>
        <w:pStyle w:val="Heading4"/>
      </w:pPr>
      <w:proofErr w:type="gramStart"/>
      <w:r>
        <w:t>providing</w:t>
      </w:r>
      <w:proofErr w:type="gramEnd"/>
      <w:r>
        <w:t xml:space="preserve"> the </w:t>
      </w:r>
      <w:r w:rsidR="001E2709">
        <w:t xml:space="preserve">Approved </w:t>
      </w:r>
      <w:r w:rsidR="002E7CC0">
        <w:t>Digital Engineering Service</w:t>
      </w:r>
      <w:r>
        <w:t xml:space="preserve">s to </w:t>
      </w:r>
      <w:r w:rsidR="004202A4">
        <w:t>Eligible Customer</w:t>
      </w:r>
      <w:r w:rsidR="003B3C93">
        <w:t>s</w:t>
      </w:r>
      <w:r w:rsidR="005D16EA">
        <w:t>.</w:t>
      </w:r>
    </w:p>
    <w:p w14:paraId="0FAF9E09" w14:textId="359CE8F7" w:rsidR="002F2129" w:rsidRPr="00450848" w:rsidRDefault="002F2129" w:rsidP="005D16EA">
      <w:pPr>
        <w:pStyle w:val="Heading3"/>
      </w:pPr>
      <w:r>
        <w:t>The</w:t>
      </w:r>
      <w:r w:rsidRPr="00675C6D">
        <w:t xml:space="preserve"> licence </w:t>
      </w:r>
      <w:r>
        <w:t xml:space="preserve">in </w:t>
      </w:r>
      <w:r>
        <w:fldChar w:fldCharType="begin"/>
      </w:r>
      <w:r>
        <w:instrText xml:space="preserve"> REF _Ref10643194 \w \h </w:instrText>
      </w:r>
      <w:r>
        <w:fldChar w:fldCharType="separate"/>
      </w:r>
      <w:r w:rsidR="00082E91">
        <w:t>9.2(a)</w:t>
      </w:r>
      <w:r>
        <w:fldChar w:fldCharType="end"/>
      </w:r>
      <w:r>
        <w:t xml:space="preserve"> is </w:t>
      </w:r>
      <w:r w:rsidRPr="00675C6D">
        <w:t>non-exclusive, non-transferable, non-</w:t>
      </w:r>
      <w:proofErr w:type="spellStart"/>
      <w:r w:rsidRPr="00675C6D">
        <w:t>sublicensable</w:t>
      </w:r>
      <w:proofErr w:type="spellEnd"/>
      <w:r w:rsidRPr="00675C6D">
        <w:t xml:space="preserve"> </w:t>
      </w:r>
      <w:r w:rsidR="002B1B2C">
        <w:t xml:space="preserve">(except to </w:t>
      </w:r>
      <w:proofErr w:type="gramStart"/>
      <w:r w:rsidR="002B1B2C">
        <w:t>permitted</w:t>
      </w:r>
      <w:proofErr w:type="gramEnd"/>
      <w:r w:rsidR="002B1B2C">
        <w:t xml:space="preserve"> subcontractors under a Customer Contract)</w:t>
      </w:r>
      <w:r w:rsidR="005A303B">
        <w:t>,</w:t>
      </w:r>
      <w:r w:rsidR="002B1B2C">
        <w:t xml:space="preserve"> </w:t>
      </w:r>
      <w:r w:rsidRPr="00675C6D">
        <w:t xml:space="preserve">royalty free and continues until the expiry or termination of </w:t>
      </w:r>
      <w:r w:rsidR="005D16EA">
        <w:t>the</w:t>
      </w:r>
      <w:r>
        <w:t xml:space="preserve"> Term.</w:t>
      </w:r>
    </w:p>
    <w:p w14:paraId="5F4E7777" w14:textId="6B9C174B" w:rsidR="000602FA" w:rsidRPr="00450848" w:rsidRDefault="000602FA" w:rsidP="005D16EA">
      <w:pPr>
        <w:pStyle w:val="Heading3"/>
      </w:pPr>
      <w:r>
        <w:t xml:space="preserve">Except as set out in this clause </w:t>
      </w:r>
      <w:r>
        <w:fldChar w:fldCharType="begin"/>
      </w:r>
      <w:r>
        <w:instrText xml:space="preserve"> REF _Ref10017791 \r \h </w:instrText>
      </w:r>
      <w:r>
        <w:fldChar w:fldCharType="separate"/>
      </w:r>
      <w:r w:rsidR="00082E91">
        <w:t>9.2</w:t>
      </w:r>
      <w:r>
        <w:fldChar w:fldCharType="end"/>
      </w:r>
      <w:r>
        <w:t xml:space="preserve">, the </w:t>
      </w:r>
      <w:r w:rsidR="00D82BC0">
        <w:t>Supplier</w:t>
      </w:r>
      <w:r>
        <w:t xml:space="preserve"> </w:t>
      </w:r>
      <w:r w:rsidRPr="00D73E33">
        <w:t>do</w:t>
      </w:r>
      <w:r>
        <w:t>es</w:t>
      </w:r>
      <w:r w:rsidRPr="00D73E33">
        <w:t xml:space="preserve"> not gain any other rights</w:t>
      </w:r>
      <w:r>
        <w:t xml:space="preserve"> or permissions to </w:t>
      </w:r>
      <w:proofErr w:type="spellStart"/>
      <w:r w:rsidR="002E7CC0">
        <w:t>TfNSW</w:t>
      </w:r>
      <w:proofErr w:type="spellEnd"/>
      <w:r w:rsidRPr="00312F6D">
        <w:t xml:space="preserve"> </w:t>
      </w:r>
      <w:r>
        <w:t>Data.</w:t>
      </w:r>
    </w:p>
    <w:p w14:paraId="6049F2E9" w14:textId="123FC6C2" w:rsidR="00045CB1" w:rsidRDefault="00D82BC0" w:rsidP="00936CCB">
      <w:pPr>
        <w:pStyle w:val="Heading2"/>
      </w:pPr>
      <w:bookmarkStart w:id="89" w:name="_Toc10373579"/>
      <w:bookmarkStart w:id="90" w:name="_Toc15419251"/>
      <w:bookmarkStart w:id="91" w:name="_Ref8834955"/>
      <w:bookmarkStart w:id="92" w:name="_Toc9955566"/>
      <w:r>
        <w:t>Supplier</w:t>
      </w:r>
      <w:r w:rsidR="003467D1">
        <w:t>’</w:t>
      </w:r>
      <w:r w:rsidR="00045CB1">
        <w:t xml:space="preserve">s Personnel who have access to </w:t>
      </w:r>
      <w:proofErr w:type="spellStart"/>
      <w:r w:rsidR="002E7CC0">
        <w:t>TfNSW</w:t>
      </w:r>
      <w:proofErr w:type="spellEnd"/>
      <w:r w:rsidR="00D82EFA">
        <w:t xml:space="preserve"> </w:t>
      </w:r>
      <w:r w:rsidR="00045CB1">
        <w:t>Data</w:t>
      </w:r>
      <w:bookmarkEnd w:id="89"/>
      <w:bookmarkEnd w:id="90"/>
    </w:p>
    <w:p w14:paraId="51142383" w14:textId="77777777" w:rsidR="002B1B2C" w:rsidRDefault="002B1B2C" w:rsidP="00936CCB">
      <w:pPr>
        <w:pStyle w:val="BodyText"/>
      </w:pPr>
      <w:r>
        <w:t>The Supplier must:</w:t>
      </w:r>
    </w:p>
    <w:p w14:paraId="058055B3" w14:textId="305DBDE0" w:rsidR="002B1B2C" w:rsidRDefault="002B1B2C" w:rsidP="002B1B2C">
      <w:pPr>
        <w:pStyle w:val="Heading3"/>
      </w:pPr>
      <w:r>
        <w:t xml:space="preserve">complete criminal history background checks, “Working with Children” checks, security checks and clearances and any other background checks </w:t>
      </w:r>
      <w:r w:rsidR="00045CB1">
        <w:t xml:space="preserve">as may be specified by </w:t>
      </w:r>
      <w:proofErr w:type="spellStart"/>
      <w:r w:rsidR="002E7CC0">
        <w:t>TfNSW</w:t>
      </w:r>
      <w:proofErr w:type="spellEnd"/>
      <w:r w:rsidR="00FC5788">
        <w:t xml:space="preserve"> </w:t>
      </w:r>
      <w:r w:rsidR="00045CB1">
        <w:t>from time to time</w:t>
      </w:r>
      <w:r>
        <w:t xml:space="preserve"> for any Supplier Personnel </w:t>
      </w:r>
      <w:r w:rsidR="00691F18">
        <w:t>who</w:t>
      </w:r>
      <w:r>
        <w:t xml:space="preserve"> are able to access or view any </w:t>
      </w:r>
      <w:proofErr w:type="spellStart"/>
      <w:r>
        <w:t>TfNSW</w:t>
      </w:r>
      <w:proofErr w:type="spellEnd"/>
      <w:r>
        <w:t xml:space="preserve"> Data; and</w:t>
      </w:r>
    </w:p>
    <w:p w14:paraId="0FF8B6F4" w14:textId="3DD7F01E" w:rsidR="00045CB1" w:rsidRPr="002263DF" w:rsidRDefault="002B1B2C" w:rsidP="002B1B2C">
      <w:pPr>
        <w:pStyle w:val="Heading3"/>
      </w:pPr>
      <w:proofErr w:type="gramStart"/>
      <w:r>
        <w:t>not</w:t>
      </w:r>
      <w:proofErr w:type="gramEnd"/>
      <w:r>
        <w:t xml:space="preserve"> allow an</w:t>
      </w:r>
      <w:r w:rsidR="009C6728">
        <w:t>y</w:t>
      </w:r>
      <w:r>
        <w:t xml:space="preserve"> Personnel who have failed any check specified in paragraph (a) to access or view any </w:t>
      </w:r>
      <w:proofErr w:type="spellStart"/>
      <w:r>
        <w:t>TfNSW</w:t>
      </w:r>
      <w:proofErr w:type="spellEnd"/>
      <w:r>
        <w:t xml:space="preserve"> Data</w:t>
      </w:r>
      <w:r w:rsidR="009C6728">
        <w:t>.</w:t>
      </w:r>
    </w:p>
    <w:p w14:paraId="538F6E1B" w14:textId="4DFE8B45" w:rsidR="000602FA" w:rsidRDefault="000602FA" w:rsidP="00936CCB">
      <w:pPr>
        <w:pStyle w:val="Heading2"/>
      </w:pPr>
      <w:bookmarkStart w:id="93" w:name="_Ref10644244"/>
      <w:bookmarkStart w:id="94" w:name="_Toc15419252"/>
      <w:r>
        <w:t xml:space="preserve">Storage and transfer of </w:t>
      </w:r>
      <w:proofErr w:type="spellStart"/>
      <w:r w:rsidR="002E7CC0">
        <w:t>TfNSW</w:t>
      </w:r>
      <w:proofErr w:type="spellEnd"/>
      <w:r w:rsidRPr="00312F6D">
        <w:t xml:space="preserve"> </w:t>
      </w:r>
      <w:r w:rsidRPr="00CC4F4C">
        <w:t>Data</w:t>
      </w:r>
      <w:bookmarkEnd w:id="91"/>
      <w:bookmarkEnd w:id="92"/>
      <w:bookmarkEnd w:id="93"/>
      <w:bookmarkEnd w:id="94"/>
      <w:r w:rsidR="00B864D8">
        <w:t xml:space="preserve"> </w:t>
      </w:r>
    </w:p>
    <w:p w14:paraId="407FD5E1" w14:textId="292B2CA5" w:rsidR="00FC5788" w:rsidRDefault="00FC5788" w:rsidP="00936CCB">
      <w:pPr>
        <w:pStyle w:val="Heading3"/>
      </w:pPr>
      <w:bookmarkStart w:id="95" w:name="_Hlk10017834"/>
      <w:r>
        <w:t xml:space="preserve">The </w:t>
      </w:r>
      <w:r w:rsidR="00D82BC0">
        <w:t>Supplier</w:t>
      </w:r>
      <w:r w:rsidR="00141391">
        <w:t xml:space="preserve"> must not: </w:t>
      </w:r>
    </w:p>
    <w:p w14:paraId="033CEAF0" w14:textId="3AC3A331" w:rsidR="00FC5788" w:rsidRDefault="00FC5788" w:rsidP="00936CCB">
      <w:pPr>
        <w:pStyle w:val="Heading4"/>
      </w:pPr>
      <w:proofErr w:type="gramStart"/>
      <w:r>
        <w:t>store</w:t>
      </w:r>
      <w:proofErr w:type="gramEnd"/>
      <w:r>
        <w:t xml:space="preserve">, </w:t>
      </w:r>
      <w:r w:rsidRPr="00675C6D">
        <w:t>process</w:t>
      </w:r>
      <w:r>
        <w:t xml:space="preserve">, access, disclose or view </w:t>
      </w:r>
      <w:proofErr w:type="spellStart"/>
      <w:r w:rsidR="002E7CC0">
        <w:t>TfNSW</w:t>
      </w:r>
      <w:proofErr w:type="spellEnd"/>
      <w:r w:rsidR="0005285A" w:rsidRPr="00D73E33">
        <w:t xml:space="preserve"> </w:t>
      </w:r>
      <w:r w:rsidRPr="00D73E33">
        <w:t>Data</w:t>
      </w:r>
      <w:r>
        <w:t>; or</w:t>
      </w:r>
    </w:p>
    <w:p w14:paraId="530DB6A1" w14:textId="1F0400A7" w:rsidR="00FC5788" w:rsidRDefault="00FC5788" w:rsidP="00936CCB">
      <w:pPr>
        <w:pStyle w:val="Heading4"/>
      </w:pPr>
      <w:proofErr w:type="gramStart"/>
      <w:r>
        <w:t>perform</w:t>
      </w:r>
      <w:proofErr w:type="gramEnd"/>
      <w:r>
        <w:t xml:space="preserve"> any of its obligations under </w:t>
      </w:r>
      <w:r w:rsidR="0005285A">
        <w:t xml:space="preserve">this Head Agreement </w:t>
      </w:r>
      <w:r w:rsidRPr="00675C6D">
        <w:t xml:space="preserve">which could involve </w:t>
      </w:r>
      <w:proofErr w:type="spellStart"/>
      <w:r w:rsidR="002E7CC0">
        <w:t>TfNSW</w:t>
      </w:r>
      <w:proofErr w:type="spellEnd"/>
      <w:r w:rsidR="0005285A" w:rsidRPr="00675C6D">
        <w:t xml:space="preserve"> </w:t>
      </w:r>
      <w:r w:rsidRPr="00675C6D">
        <w:t xml:space="preserve">Data being </w:t>
      </w:r>
      <w:r>
        <w:t xml:space="preserve">stored, processed, accessed, disclosed or viewed, </w:t>
      </w:r>
    </w:p>
    <w:p w14:paraId="2D64FECA" w14:textId="107C8B60" w:rsidR="00E4608F" w:rsidRDefault="00FC5788" w:rsidP="00141391">
      <w:pPr>
        <w:pStyle w:val="Heading3"/>
        <w:numPr>
          <w:ilvl w:val="0"/>
          <w:numId w:val="0"/>
        </w:numPr>
        <w:ind w:left="1701"/>
      </w:pPr>
      <w:proofErr w:type="gramStart"/>
      <w:r w:rsidRPr="00675C6D">
        <w:t>outside</w:t>
      </w:r>
      <w:proofErr w:type="gramEnd"/>
      <w:r w:rsidRPr="00675C6D">
        <w:t xml:space="preserve"> </w:t>
      </w:r>
      <w:bookmarkEnd w:id="95"/>
      <w:r>
        <w:t xml:space="preserve">of New South Wales, </w:t>
      </w:r>
      <w:bookmarkStart w:id="96" w:name="_Hlk21377591"/>
      <w:r>
        <w:t>except</w:t>
      </w:r>
      <w:r w:rsidR="00E4608F">
        <w:t xml:space="preserve"> (subject to paragraph (b)):</w:t>
      </w:r>
    </w:p>
    <w:p w14:paraId="01A925CF" w14:textId="785C7939" w:rsidR="00E4608F" w:rsidRDefault="00FC5788" w:rsidP="00E4608F">
      <w:pPr>
        <w:pStyle w:val="Heading4"/>
      </w:pPr>
      <w:bookmarkStart w:id="97" w:name="_Ref10294161"/>
      <w:proofErr w:type="gramStart"/>
      <w:r>
        <w:t>with</w:t>
      </w:r>
      <w:proofErr w:type="gramEnd"/>
      <w:r>
        <w:t xml:space="preserve"> </w:t>
      </w:r>
      <w:proofErr w:type="spellStart"/>
      <w:r w:rsidR="002E7CC0">
        <w:t>TfNSW</w:t>
      </w:r>
      <w:r w:rsidR="003467D1">
        <w:t>’</w:t>
      </w:r>
      <w:r w:rsidR="0005285A">
        <w:t>s</w:t>
      </w:r>
      <w:proofErr w:type="spellEnd"/>
      <w:r w:rsidR="0005285A">
        <w:t xml:space="preserve"> </w:t>
      </w:r>
      <w:r>
        <w:t>prior written consent</w:t>
      </w:r>
      <w:bookmarkEnd w:id="96"/>
      <w:bookmarkEnd w:id="97"/>
      <w:r w:rsidR="00E4608F">
        <w:t xml:space="preserve"> (and if </w:t>
      </w:r>
      <w:proofErr w:type="spellStart"/>
      <w:r w:rsidR="00E4608F">
        <w:t>TfNSW’s</w:t>
      </w:r>
      <w:proofErr w:type="spellEnd"/>
      <w:r w:rsidR="00E4608F">
        <w:t xml:space="preserve"> consent is provided on a conditional basis, then the Supplier must comply at all relevant times with those conditions); or</w:t>
      </w:r>
    </w:p>
    <w:p w14:paraId="79378BFE" w14:textId="2716313E" w:rsidR="00FC5788" w:rsidRDefault="00E4608F" w:rsidP="00E4608F">
      <w:pPr>
        <w:pStyle w:val="Heading4"/>
      </w:pPr>
      <w:r>
        <w:t xml:space="preserve">where necessary to comply with any Law or a binding order of a Governmental body (such as a subpoena or court order) imposed on the Supplier, provided that the Supplier gives </w:t>
      </w:r>
      <w:proofErr w:type="spellStart"/>
      <w:r>
        <w:t>TfNSW</w:t>
      </w:r>
      <w:proofErr w:type="spellEnd"/>
      <w:r>
        <w:t xml:space="preserve"> reasonable notice of any such legal requirement or order to enable </w:t>
      </w:r>
      <w:proofErr w:type="spellStart"/>
      <w:r>
        <w:t>TfNSW</w:t>
      </w:r>
      <w:proofErr w:type="spellEnd"/>
      <w:r>
        <w:t xml:space="preserve"> to seek a protective order or other appropriate remedy</w:t>
      </w:r>
      <w:r w:rsidR="00141391">
        <w:t>.</w:t>
      </w:r>
    </w:p>
    <w:p w14:paraId="49A0AD79" w14:textId="65EEB00B" w:rsidR="00E4608F" w:rsidRDefault="00E4608F" w:rsidP="00E4608F">
      <w:pPr>
        <w:pStyle w:val="Heading3"/>
      </w:pPr>
      <w:r>
        <w:t xml:space="preserve">Notwithstanding paragraph (a), the Supplier must not store, process, access, disclose or view any </w:t>
      </w:r>
      <w:proofErr w:type="spellStart"/>
      <w:r>
        <w:t>TfNSW</w:t>
      </w:r>
      <w:proofErr w:type="spellEnd"/>
      <w:r>
        <w:t xml:space="preserve"> Data from a location that is in a jurisdiction that is the subject of a sanction, embargo, export control or similar Law in Australia, New Zealand, the United States of America, the United Kingdom or the European Union. </w:t>
      </w:r>
    </w:p>
    <w:p w14:paraId="63029731" w14:textId="03D2871F" w:rsidR="00D82EFA" w:rsidRDefault="00D82EFA" w:rsidP="00D7090C">
      <w:pPr>
        <w:pStyle w:val="Heading3"/>
      </w:pPr>
      <w:r>
        <w:t xml:space="preserve">The </w:t>
      </w:r>
      <w:r w:rsidR="00D82BC0">
        <w:t>Supplier</w:t>
      </w:r>
      <w:r>
        <w:t xml:space="preserve"> must ensure:</w:t>
      </w:r>
    </w:p>
    <w:p w14:paraId="756F1FD2" w14:textId="145A4E46" w:rsidR="00D82EFA" w:rsidRPr="0066650F" w:rsidRDefault="00D82EFA" w:rsidP="00D7090C">
      <w:pPr>
        <w:pStyle w:val="Heading4"/>
      </w:pPr>
      <w:proofErr w:type="gramStart"/>
      <w:r>
        <w:t>the</w:t>
      </w:r>
      <w:proofErr w:type="gramEnd"/>
      <w:r>
        <w:t xml:space="preserve"> </w:t>
      </w:r>
      <w:r w:rsidRPr="00675C6D">
        <w:t xml:space="preserve">handling of </w:t>
      </w:r>
      <w:proofErr w:type="spellStart"/>
      <w:r w:rsidR="002E7CC0">
        <w:t>TfNSW</w:t>
      </w:r>
      <w:proofErr w:type="spellEnd"/>
      <w:r w:rsidRPr="00675C6D">
        <w:t xml:space="preserve"> Data complies with the </w:t>
      </w:r>
      <w:r>
        <w:t>terms of this Head Agreement</w:t>
      </w:r>
      <w:r w:rsidR="00E4608F">
        <w:t xml:space="preserve"> and any other security requirements of </w:t>
      </w:r>
      <w:proofErr w:type="spellStart"/>
      <w:r w:rsidR="00E4608F">
        <w:t>TfNSW</w:t>
      </w:r>
      <w:proofErr w:type="spellEnd"/>
      <w:r>
        <w:t>; and</w:t>
      </w:r>
    </w:p>
    <w:p w14:paraId="4324A025" w14:textId="7BC57576" w:rsidR="00D82EFA" w:rsidRPr="008C4CDA" w:rsidRDefault="002E7CC0" w:rsidP="00D7090C">
      <w:pPr>
        <w:pStyle w:val="Heading4"/>
      </w:pPr>
      <w:proofErr w:type="spellStart"/>
      <w:r>
        <w:t>TfNSW</w:t>
      </w:r>
      <w:proofErr w:type="spellEnd"/>
      <w:r w:rsidR="00D82EFA" w:rsidRPr="00675C6D">
        <w:t xml:space="preserve"> Data is </w:t>
      </w:r>
      <w:r w:rsidR="00D82EFA">
        <w:t xml:space="preserve">at all times </w:t>
      </w:r>
      <w:r w:rsidR="00D82EFA" w:rsidRPr="00675C6D">
        <w:t xml:space="preserve">managed in accordance with the </w:t>
      </w:r>
      <w:r w:rsidR="00D82EFA" w:rsidRPr="0066650F">
        <w:rPr>
          <w:i/>
        </w:rPr>
        <w:t>State Records Act 1998</w:t>
      </w:r>
      <w:r w:rsidR="00D82EFA" w:rsidRPr="00675C6D">
        <w:t xml:space="preserve"> (NSW)</w:t>
      </w:r>
      <w:r w:rsidR="00D82EFA">
        <w:t>.</w:t>
      </w:r>
    </w:p>
    <w:p w14:paraId="6F2071CC" w14:textId="29EB7614" w:rsidR="00D82EFA" w:rsidRPr="00841C77" w:rsidRDefault="00D82EFA" w:rsidP="00D7090C">
      <w:pPr>
        <w:pStyle w:val="Heading3"/>
      </w:pPr>
      <w:r>
        <w:t xml:space="preserve">For clarity, nothing in this clause </w:t>
      </w:r>
      <w:r>
        <w:fldChar w:fldCharType="begin"/>
      </w:r>
      <w:r>
        <w:instrText xml:space="preserve"> REF _Ref10644244 \w \h </w:instrText>
      </w:r>
      <w:r>
        <w:fldChar w:fldCharType="separate"/>
      </w:r>
      <w:r w:rsidR="00082E91">
        <w:t>9.4</w:t>
      </w:r>
      <w:r>
        <w:fldChar w:fldCharType="end"/>
      </w:r>
      <w:r>
        <w:t xml:space="preserve"> relieves the </w:t>
      </w:r>
      <w:r w:rsidR="00D82BC0">
        <w:t>Supplier</w:t>
      </w:r>
      <w:r>
        <w:t xml:space="preserve"> of its obligations under </w:t>
      </w:r>
      <w:r w:rsidR="00E4608F">
        <w:t xml:space="preserve">clause </w:t>
      </w:r>
      <w:r w:rsidR="00E4608F">
        <w:fldChar w:fldCharType="begin"/>
      </w:r>
      <w:r w:rsidR="00E4608F">
        <w:instrText xml:space="preserve"> REF _Ref16500872 \r \h </w:instrText>
      </w:r>
      <w:r w:rsidR="00E4608F">
        <w:fldChar w:fldCharType="separate"/>
      </w:r>
      <w:r w:rsidR="00082E91">
        <w:t>10</w:t>
      </w:r>
      <w:r w:rsidR="00E4608F">
        <w:fldChar w:fldCharType="end"/>
      </w:r>
      <w:r>
        <w:t xml:space="preserve">.   </w:t>
      </w:r>
    </w:p>
    <w:p w14:paraId="4ABA8E74" w14:textId="1357005F" w:rsidR="00D82EFA" w:rsidRDefault="00D82EFA" w:rsidP="00D7090C">
      <w:pPr>
        <w:pStyle w:val="Heading3"/>
      </w:pPr>
      <w:r>
        <w:lastRenderedPageBreak/>
        <w:t xml:space="preserve">If requested by </w:t>
      </w:r>
      <w:proofErr w:type="spellStart"/>
      <w:r w:rsidR="002E7CC0">
        <w:t>TfNSW</w:t>
      </w:r>
      <w:proofErr w:type="spellEnd"/>
      <w:r>
        <w:t xml:space="preserve">, the </w:t>
      </w:r>
      <w:r w:rsidR="00D82BC0">
        <w:t>Supplier</w:t>
      </w:r>
      <w:r>
        <w:t xml:space="preserve"> must provide </w:t>
      </w:r>
      <w:proofErr w:type="spellStart"/>
      <w:r w:rsidR="002E7CC0">
        <w:t>TfNSW</w:t>
      </w:r>
      <w:proofErr w:type="spellEnd"/>
      <w:r w:rsidRPr="00675C6D">
        <w:rPr>
          <w:rFonts w:cs="Arial"/>
          <w:szCs w:val="22"/>
        </w:rPr>
        <w:t xml:space="preserve"> </w:t>
      </w:r>
      <w:r>
        <w:t xml:space="preserve">with a report setting out how it will comply with its obligations under this clause </w:t>
      </w:r>
      <w:r>
        <w:fldChar w:fldCharType="begin"/>
      </w:r>
      <w:r>
        <w:instrText xml:space="preserve"> REF _Ref10644244 \w \h </w:instrText>
      </w:r>
      <w:r>
        <w:fldChar w:fldCharType="separate"/>
      </w:r>
      <w:r w:rsidR="00082E91">
        <w:t>9.4</w:t>
      </w:r>
      <w:r>
        <w:fldChar w:fldCharType="end"/>
      </w:r>
      <w:r>
        <w:t xml:space="preserve">.  </w:t>
      </w:r>
    </w:p>
    <w:p w14:paraId="5BB3ADEB" w14:textId="2EE34682" w:rsidR="00442A17" w:rsidRDefault="00442A17" w:rsidP="00D7090C">
      <w:pPr>
        <w:pStyle w:val="Heading1"/>
      </w:pPr>
      <w:bookmarkStart w:id="98" w:name="_Ref16500872"/>
      <w:bookmarkStart w:id="99" w:name="_Ref10035473"/>
      <w:bookmarkStart w:id="100" w:name="_Toc15419253"/>
      <w:r>
        <w:t>Privacy</w:t>
      </w:r>
      <w:bookmarkEnd w:id="98"/>
    </w:p>
    <w:p w14:paraId="2CBF8C53" w14:textId="1ACF7C89" w:rsidR="00F82AD4" w:rsidRDefault="00F82AD4" w:rsidP="00F82AD4">
      <w:pPr>
        <w:pStyle w:val="BodyText"/>
      </w:pPr>
      <w:r>
        <w:t xml:space="preserve">If the Supplier collects, uses, discloses, holds or otherwise processes any Personal Information in connection with this Head Agreement (regardless of whether or not that Personal Information forms part of the </w:t>
      </w:r>
      <w:proofErr w:type="spellStart"/>
      <w:r>
        <w:t>TfNSW</w:t>
      </w:r>
      <w:proofErr w:type="spellEnd"/>
      <w:r>
        <w:t xml:space="preserve"> Data), the Supplier must:</w:t>
      </w:r>
    </w:p>
    <w:p w14:paraId="4B7712F6" w14:textId="77777777" w:rsidR="00F82AD4" w:rsidRDefault="00F82AD4" w:rsidP="00F82AD4">
      <w:pPr>
        <w:pStyle w:val="Heading3"/>
      </w:pPr>
      <w:proofErr w:type="gramStart"/>
      <w:r>
        <w:t>comply</w:t>
      </w:r>
      <w:proofErr w:type="gramEnd"/>
      <w:r>
        <w:t xml:space="preserve"> with all Privacy Laws, as though it were a person subject to those Privacy Laws; </w:t>
      </w:r>
    </w:p>
    <w:p w14:paraId="321F33CC" w14:textId="326125AA" w:rsidR="00F82AD4" w:rsidRDefault="00F82AD4" w:rsidP="00F82AD4">
      <w:pPr>
        <w:pStyle w:val="Heading3"/>
      </w:pPr>
      <w:proofErr w:type="gramStart"/>
      <w:r>
        <w:t>only</w:t>
      </w:r>
      <w:proofErr w:type="gramEnd"/>
      <w:r>
        <w:t xml:space="preserve"> use that Personal Information for the sole purpose of performing its obligations under this Head Agreement or a Customer Contract;</w:t>
      </w:r>
    </w:p>
    <w:p w14:paraId="7212D713" w14:textId="6D176FA7" w:rsidR="00F82AD4" w:rsidRDefault="00F82AD4" w:rsidP="00F82AD4">
      <w:pPr>
        <w:pStyle w:val="Heading3"/>
      </w:pPr>
      <w:proofErr w:type="gramStart"/>
      <w:r>
        <w:t>not</w:t>
      </w:r>
      <w:proofErr w:type="gramEnd"/>
      <w:r>
        <w:t xml:space="preserve"> disclose the Personal Information to any other person without </w:t>
      </w:r>
      <w:proofErr w:type="spellStart"/>
      <w:r>
        <w:t>TfNSW’s</w:t>
      </w:r>
      <w:proofErr w:type="spellEnd"/>
      <w:r>
        <w:t xml:space="preserve"> prior written consent; </w:t>
      </w:r>
    </w:p>
    <w:p w14:paraId="57D1D60F" w14:textId="2BA3E21D" w:rsidR="00F82AD4" w:rsidRDefault="00F82AD4" w:rsidP="00F82AD4">
      <w:pPr>
        <w:pStyle w:val="Heading3"/>
      </w:pPr>
      <w:proofErr w:type="gramStart"/>
      <w:r>
        <w:t>not</w:t>
      </w:r>
      <w:proofErr w:type="gramEnd"/>
      <w:r>
        <w:t xml:space="preserve"> transfer it outside Australia or access it, or allow it to be accessed, from outside Australia without </w:t>
      </w:r>
      <w:proofErr w:type="spellStart"/>
      <w:r>
        <w:t>TfNSW’s</w:t>
      </w:r>
      <w:proofErr w:type="spellEnd"/>
      <w:r>
        <w:t xml:space="preserve"> prior written consent;</w:t>
      </w:r>
    </w:p>
    <w:p w14:paraId="280DD57E" w14:textId="60E0CAC2" w:rsidR="00F82AD4" w:rsidRDefault="00F82AD4" w:rsidP="00F82AD4">
      <w:pPr>
        <w:pStyle w:val="Heading3"/>
      </w:pPr>
      <w:proofErr w:type="gramStart"/>
      <w:r>
        <w:t>notify</w:t>
      </w:r>
      <w:proofErr w:type="gramEnd"/>
      <w:r>
        <w:t xml:space="preserve"> </w:t>
      </w:r>
      <w:proofErr w:type="spellStart"/>
      <w:r>
        <w:t>TfNSW</w:t>
      </w:r>
      <w:proofErr w:type="spellEnd"/>
      <w:r>
        <w:t xml:space="preserve"> </w:t>
      </w:r>
      <w:r w:rsidRPr="001006C8">
        <w:t>immediately</w:t>
      </w:r>
      <w:r w:rsidRPr="007941EA">
        <w:t>,</w:t>
      </w:r>
      <w:r w:rsidRPr="001006C8">
        <w:t xml:space="preserve"> upon</w:t>
      </w:r>
      <w:r>
        <w:t xml:space="preserve"> becoming aware of a breach, alleged breach, or suspecting that a breach of this clause </w:t>
      </w:r>
      <w:r>
        <w:fldChar w:fldCharType="begin"/>
      </w:r>
      <w:r>
        <w:instrText xml:space="preserve"> REF _Ref16500872 \r \h </w:instrText>
      </w:r>
      <w:r>
        <w:fldChar w:fldCharType="separate"/>
      </w:r>
      <w:r w:rsidR="00082E91">
        <w:t>10</w:t>
      </w:r>
      <w:r>
        <w:fldChar w:fldCharType="end"/>
      </w:r>
      <w:r>
        <w:t xml:space="preserve"> has occurred (or may have occurred) and: </w:t>
      </w:r>
    </w:p>
    <w:p w14:paraId="35C406A9" w14:textId="77777777" w:rsidR="00F82AD4" w:rsidRDefault="00F82AD4" w:rsidP="00F82AD4">
      <w:pPr>
        <w:pStyle w:val="Heading4"/>
      </w:pPr>
      <w:proofErr w:type="gramStart"/>
      <w:r>
        <w:t>take</w:t>
      </w:r>
      <w:proofErr w:type="gramEnd"/>
      <w:r>
        <w:t xml:space="preserve"> all reasonable steps to manage, contain and remedy such breach;</w:t>
      </w:r>
    </w:p>
    <w:p w14:paraId="3C404A9A" w14:textId="549140AC" w:rsidR="00F82AD4" w:rsidRDefault="00F82AD4" w:rsidP="00F82AD4">
      <w:pPr>
        <w:pStyle w:val="Heading4"/>
      </w:pPr>
      <w:proofErr w:type="gramStart"/>
      <w:r>
        <w:t>comply</w:t>
      </w:r>
      <w:proofErr w:type="gramEnd"/>
      <w:r>
        <w:t xml:space="preserve"> with any reasonable direction from </w:t>
      </w:r>
      <w:proofErr w:type="spellStart"/>
      <w:r>
        <w:t>TfNSW</w:t>
      </w:r>
      <w:proofErr w:type="spellEnd"/>
      <w:r>
        <w:t xml:space="preserve"> with respect to that breach (which may include, for example, notifying any affected individuals of the breach of privacy); and</w:t>
      </w:r>
    </w:p>
    <w:p w14:paraId="097ABB2F" w14:textId="77777777" w:rsidR="00F82AD4" w:rsidRDefault="00F82AD4" w:rsidP="00F82AD4">
      <w:pPr>
        <w:pStyle w:val="Heading4"/>
      </w:pPr>
      <w:proofErr w:type="gramStart"/>
      <w:r>
        <w:t>take</w:t>
      </w:r>
      <w:proofErr w:type="gramEnd"/>
      <w:r>
        <w:t xml:space="preserve"> all reasonable steps to prevent such breach from recurring; and</w:t>
      </w:r>
    </w:p>
    <w:p w14:paraId="446BA742" w14:textId="21E36688" w:rsidR="00F82AD4" w:rsidRDefault="00F82AD4" w:rsidP="00F82AD4">
      <w:pPr>
        <w:pStyle w:val="Heading3"/>
      </w:pPr>
      <w:proofErr w:type="gramStart"/>
      <w:r>
        <w:t>notify</w:t>
      </w:r>
      <w:proofErr w:type="gramEnd"/>
      <w:r>
        <w:t xml:space="preserve"> </w:t>
      </w:r>
      <w:proofErr w:type="spellStart"/>
      <w:r>
        <w:t>TfNSW</w:t>
      </w:r>
      <w:proofErr w:type="spellEnd"/>
      <w:r>
        <w:t xml:space="preserve"> as soon as reasonably possible:</w:t>
      </w:r>
    </w:p>
    <w:p w14:paraId="70FC56C1" w14:textId="60217DFF" w:rsidR="00F82AD4" w:rsidRDefault="00F82AD4" w:rsidP="00F82AD4">
      <w:pPr>
        <w:pStyle w:val="Heading4"/>
      </w:pPr>
      <w:r>
        <w:t>if the Supplier is required to disclose that Personal Information under Pr</w:t>
      </w:r>
      <w:r w:rsidR="006300FE">
        <w:t>ivacy Laws or other applicable L</w:t>
      </w:r>
      <w:r>
        <w:t xml:space="preserve">aws, provided the Supplier gives </w:t>
      </w:r>
      <w:proofErr w:type="spellStart"/>
      <w:r>
        <w:t>TfNSW</w:t>
      </w:r>
      <w:proofErr w:type="spellEnd"/>
      <w:r>
        <w:t xml:space="preserve"> reasonable notice of any such legal requirement to order to enable the Supplier to seek a protective order or other appropriate remedy (unless it would be in violation of a court order or other legal requirement); and/or</w:t>
      </w:r>
    </w:p>
    <w:p w14:paraId="1B992AC5" w14:textId="77777777" w:rsidR="00F82AD4" w:rsidRDefault="00F82AD4" w:rsidP="00F82AD4">
      <w:pPr>
        <w:pStyle w:val="Heading4"/>
      </w:pPr>
      <w:proofErr w:type="gramStart"/>
      <w:r>
        <w:t>if</w:t>
      </w:r>
      <w:proofErr w:type="gramEnd"/>
      <w:r>
        <w:t xml:space="preserve"> the Supplier is approached by any privacy commissioner or other regulator concerning any Personal Information.</w:t>
      </w:r>
    </w:p>
    <w:p w14:paraId="71F7CEFB" w14:textId="5E17EA24" w:rsidR="005143E3" w:rsidRDefault="00094A15" w:rsidP="00D7090C">
      <w:pPr>
        <w:pStyle w:val="Heading1"/>
      </w:pPr>
      <w:bookmarkStart w:id="101" w:name="_Ref24115454"/>
      <w:bookmarkEnd w:id="99"/>
      <w:bookmarkEnd w:id="100"/>
      <w:r>
        <w:t>Supplier Compliance</w:t>
      </w:r>
      <w:bookmarkEnd w:id="101"/>
    </w:p>
    <w:p w14:paraId="4ACC6107" w14:textId="77777777" w:rsidR="00EE6AE2" w:rsidRDefault="00EE6AE2" w:rsidP="00D7090C">
      <w:pPr>
        <w:pStyle w:val="Heading2"/>
      </w:pPr>
      <w:bookmarkStart w:id="102" w:name="_Toc10644173"/>
      <w:bookmarkStart w:id="103" w:name="_Toc15419254"/>
      <w:r>
        <w:t xml:space="preserve">Government policies, applicable standards and </w:t>
      </w:r>
      <w:r w:rsidR="00C05C46">
        <w:t>Law</w:t>
      </w:r>
      <w:r>
        <w:t>s</w:t>
      </w:r>
      <w:bookmarkEnd w:id="102"/>
      <w:bookmarkEnd w:id="103"/>
    </w:p>
    <w:p w14:paraId="1DB32E79" w14:textId="6DE54ADE" w:rsidR="00EE6AE2" w:rsidRDefault="00EE6AE2" w:rsidP="00D7090C">
      <w:pPr>
        <w:pStyle w:val="Heading3"/>
      </w:pPr>
      <w:bookmarkStart w:id="104" w:name="_Ref10292600"/>
      <w:r>
        <w:t xml:space="preserve">The </w:t>
      </w:r>
      <w:r w:rsidR="00D82BC0">
        <w:t>Supplier</w:t>
      </w:r>
      <w:r w:rsidRPr="00F2497B">
        <w:t xml:space="preserve"> must</w:t>
      </w:r>
      <w:r>
        <w:t>, in</w:t>
      </w:r>
      <w:r w:rsidRPr="00F2497B">
        <w:t xml:space="preserve"> </w:t>
      </w:r>
      <w:r>
        <w:t xml:space="preserve">performing </w:t>
      </w:r>
      <w:r w:rsidRPr="00F2497B">
        <w:t xml:space="preserve">its obligations under </w:t>
      </w:r>
      <w:r>
        <w:t>the Head Agreement:</w:t>
      </w:r>
      <w:bookmarkEnd w:id="104"/>
    </w:p>
    <w:p w14:paraId="7E0AA521" w14:textId="64EB90B4" w:rsidR="00EE6AE2" w:rsidRDefault="00C50426" w:rsidP="00D7090C">
      <w:pPr>
        <w:pStyle w:val="Heading4"/>
      </w:pPr>
      <w:bookmarkStart w:id="105" w:name="_Ref8918248"/>
      <w:proofErr w:type="gramStart"/>
      <w:r>
        <w:t>c</w:t>
      </w:r>
      <w:r w:rsidR="00D377D3">
        <w:t>omply</w:t>
      </w:r>
      <w:proofErr w:type="gramEnd"/>
      <w:r w:rsidR="00D377D3">
        <w:t xml:space="preserve"> with</w:t>
      </w:r>
      <w:r>
        <w:t xml:space="preserve"> </w:t>
      </w:r>
      <w:bookmarkStart w:id="106" w:name="_Hlk11408667"/>
      <w:r w:rsidR="00D377D3">
        <w:t xml:space="preserve">all Australian </w:t>
      </w:r>
      <w:r w:rsidR="00C05C46">
        <w:t>Law</w:t>
      </w:r>
      <w:r w:rsidR="00D377D3">
        <w:t xml:space="preserve">s </w:t>
      </w:r>
      <w:r>
        <w:t>as though the</w:t>
      </w:r>
      <w:r w:rsidR="00D377D3">
        <w:t xml:space="preserve"> </w:t>
      </w:r>
      <w:r w:rsidR="00D82BC0">
        <w:t>Supplier</w:t>
      </w:r>
      <w:r w:rsidR="00D377D3">
        <w:t xml:space="preserve"> </w:t>
      </w:r>
      <w:r>
        <w:t xml:space="preserve">is </w:t>
      </w:r>
      <w:r w:rsidR="0012671C">
        <w:t>domiciled</w:t>
      </w:r>
      <w:r>
        <w:t xml:space="preserve"> in Australia, all other applicable </w:t>
      </w:r>
      <w:r w:rsidR="00C05C46">
        <w:t>Law</w:t>
      </w:r>
      <w:r>
        <w:t>s</w:t>
      </w:r>
      <w:r w:rsidR="00EE6AE2">
        <w:t xml:space="preserve">, </w:t>
      </w:r>
      <w:r w:rsidR="00EE6AE2" w:rsidRPr="00F2497B">
        <w:t>NSW Government policies</w:t>
      </w:r>
      <w:r w:rsidR="00EE6AE2">
        <w:t>,</w:t>
      </w:r>
      <w:r w:rsidR="00EE6AE2" w:rsidRPr="00F2497B">
        <w:t xml:space="preserve"> </w:t>
      </w:r>
      <w:r w:rsidR="00EE6AE2">
        <w:t>codes, guidelines and standards</w:t>
      </w:r>
      <w:r w:rsidR="005D6550">
        <w:t xml:space="preserve"> </w:t>
      </w:r>
      <w:r w:rsidR="00EE6AE2">
        <w:t>including</w:t>
      </w:r>
      <w:bookmarkEnd w:id="106"/>
      <w:r w:rsidR="00EE6AE2">
        <w:t>:</w:t>
      </w:r>
      <w:bookmarkEnd w:id="105"/>
    </w:p>
    <w:p w14:paraId="163E12F3" w14:textId="36603076" w:rsidR="00D82BC0" w:rsidRDefault="00D82BC0" w:rsidP="00D82BC0">
      <w:pPr>
        <w:pStyle w:val="Heading5"/>
      </w:pPr>
      <w:bookmarkStart w:id="107" w:name="_Hlk10456245"/>
      <w:r>
        <w:t xml:space="preserve">The NSW Procurement Policy </w:t>
      </w:r>
      <w:r w:rsidR="00691F18">
        <w:t>Framework</w:t>
      </w:r>
      <w:r>
        <w:t xml:space="preserve"> published at </w:t>
      </w:r>
      <w:hyperlink r:id="rId12" w:history="1">
        <w:r>
          <w:rPr>
            <w:rStyle w:val="Hyperlink"/>
          </w:rPr>
          <w:t>https://www.procurepoint.nsw.gov.au/policy-and-reform/nsw-government-procurement-policy-framework</w:t>
        </w:r>
      </w:hyperlink>
      <w:r>
        <w:t>;</w:t>
      </w:r>
    </w:p>
    <w:p w14:paraId="6669B46A" w14:textId="232FDF28" w:rsidR="00D82BC0" w:rsidRDefault="00D82BC0" w:rsidP="00D82BC0">
      <w:pPr>
        <w:pStyle w:val="Heading5"/>
      </w:pPr>
      <w:proofErr w:type="gramStart"/>
      <w:r>
        <w:lastRenderedPageBreak/>
        <w:t>the</w:t>
      </w:r>
      <w:proofErr w:type="gramEnd"/>
      <w:r>
        <w:t xml:space="preserve"> NSW Code of Practice of Procurement published at </w:t>
      </w:r>
      <w:hyperlink r:id="rId13" w:anchor="conduct" w:history="1">
        <w:r>
          <w:rPr>
            <w:rStyle w:val="Hyperlink"/>
          </w:rPr>
          <w:t>https://www.procurepoint.nsw.gov.au/policy-and-reform/nsw-government-procurement-information#conduct</w:t>
        </w:r>
      </w:hyperlink>
      <w:r>
        <w:t>;</w:t>
      </w:r>
    </w:p>
    <w:p w14:paraId="003B32EF" w14:textId="7E90D586" w:rsidR="00D82BC0" w:rsidRDefault="00D82BC0" w:rsidP="00D82BC0">
      <w:pPr>
        <w:pStyle w:val="Heading5"/>
      </w:pPr>
      <w:proofErr w:type="gramStart"/>
      <w:r>
        <w:t>the</w:t>
      </w:r>
      <w:proofErr w:type="gramEnd"/>
      <w:r>
        <w:t xml:space="preserve"> NSW Government Small and Medium Enterprise and Regional Procurement Policy published at </w:t>
      </w:r>
      <w:hyperlink r:id="rId14" w:history="1">
        <w:r>
          <w:rPr>
            <w:rStyle w:val="Hyperlink"/>
          </w:rPr>
          <w:t>https://www.procurepoint.nsw.gov.au/policy-and-reform/goods-and-services-procurement-policies/nsw-government-small-and-medium-enterprise</w:t>
        </w:r>
      </w:hyperlink>
      <w:r>
        <w:rPr>
          <w:rStyle w:val="Hyperlink"/>
        </w:rPr>
        <w:t xml:space="preserve">; </w:t>
      </w:r>
    </w:p>
    <w:p w14:paraId="0835DA9A" w14:textId="741AD940" w:rsidR="00EE6AE2" w:rsidRDefault="00EE6AE2" w:rsidP="00183984">
      <w:pPr>
        <w:pStyle w:val="Heading5"/>
      </w:pPr>
      <w:proofErr w:type="gramStart"/>
      <w:r>
        <w:t>the</w:t>
      </w:r>
      <w:proofErr w:type="gramEnd"/>
      <w:r>
        <w:t xml:space="preserve"> NSW Government Cyber Security Policy;</w:t>
      </w:r>
    </w:p>
    <w:bookmarkEnd w:id="107"/>
    <w:p w14:paraId="15100244" w14:textId="468A8311" w:rsidR="00541060" w:rsidRDefault="00541060" w:rsidP="00541060">
      <w:pPr>
        <w:pStyle w:val="Heading5"/>
      </w:pPr>
      <w:proofErr w:type="gramStart"/>
      <w:r>
        <w:t>the</w:t>
      </w:r>
      <w:proofErr w:type="gramEnd"/>
      <w:r>
        <w:t xml:space="preserve"> Statement of Business Ethics published by </w:t>
      </w:r>
      <w:proofErr w:type="spellStart"/>
      <w:r w:rsidR="002E7CC0">
        <w:t>TfNSW</w:t>
      </w:r>
      <w:proofErr w:type="spellEnd"/>
      <w:r>
        <w:t xml:space="preserve">; </w:t>
      </w:r>
    </w:p>
    <w:p w14:paraId="55B27417" w14:textId="754F4A73" w:rsidR="00D82BC0" w:rsidRDefault="005645D1" w:rsidP="00D7090C">
      <w:pPr>
        <w:pStyle w:val="Heading5"/>
      </w:pPr>
      <w:bookmarkStart w:id="108" w:name="_Hlk10121997"/>
      <w:r>
        <w:t>M</w:t>
      </w:r>
      <w:r w:rsidR="00EE6AE2" w:rsidRPr="00E76599">
        <w:t xml:space="preserve">odern </w:t>
      </w:r>
      <w:r>
        <w:t>S</w:t>
      </w:r>
      <w:r w:rsidR="00EE6AE2" w:rsidRPr="00E76599">
        <w:t xml:space="preserve">lavery </w:t>
      </w:r>
      <w:r w:rsidR="00C05C46">
        <w:t>Law</w:t>
      </w:r>
      <w:r w:rsidR="00EE6AE2" w:rsidRPr="00E76599">
        <w:t xml:space="preserve">s </w:t>
      </w:r>
      <w:r w:rsidR="00EE6AE2">
        <w:t xml:space="preserve">in the jurisdictions applicable to the </w:t>
      </w:r>
      <w:r w:rsidR="00D82BC0">
        <w:t>Supplier</w:t>
      </w:r>
      <w:r w:rsidR="003467D1">
        <w:t>’</w:t>
      </w:r>
      <w:r w:rsidR="00EE6AE2">
        <w:t xml:space="preserve">s supply of the </w:t>
      </w:r>
      <w:r w:rsidR="001E2709">
        <w:t xml:space="preserve">Approved </w:t>
      </w:r>
      <w:r w:rsidR="002E7CC0">
        <w:t>Digital Engineering Service</w:t>
      </w:r>
      <w:r w:rsidR="00EE6AE2" w:rsidRPr="00E76599">
        <w:t>s</w:t>
      </w:r>
      <w:r w:rsidR="00EE6AE2">
        <w:t xml:space="preserve"> (including the </w:t>
      </w:r>
      <w:r w:rsidR="00EE6AE2">
        <w:rPr>
          <w:i/>
        </w:rPr>
        <w:t xml:space="preserve">Modern Slavery Act </w:t>
      </w:r>
      <w:r w:rsidR="00EE6AE2">
        <w:t>2018 (NSW))</w:t>
      </w:r>
      <w:r w:rsidR="00D82BC0">
        <w:t>, including by:</w:t>
      </w:r>
    </w:p>
    <w:p w14:paraId="087C15D1" w14:textId="1F28E94E" w:rsidR="00D82BC0" w:rsidRDefault="00D82BC0" w:rsidP="00D82BC0">
      <w:pPr>
        <w:pStyle w:val="BodyText"/>
        <w:numPr>
          <w:ilvl w:val="0"/>
          <w:numId w:val="49"/>
        </w:numPr>
        <w:ind w:left="3195"/>
      </w:pPr>
      <w:r>
        <w:t xml:space="preserve">providing to </w:t>
      </w:r>
      <w:proofErr w:type="spellStart"/>
      <w:r>
        <w:t>TfNSW</w:t>
      </w:r>
      <w:proofErr w:type="spellEnd"/>
      <w:r>
        <w:t xml:space="preserve"> any information and other assistance, as reasonably requested by </w:t>
      </w:r>
      <w:proofErr w:type="spellStart"/>
      <w:r>
        <w:t>TfNSW</w:t>
      </w:r>
      <w:proofErr w:type="spellEnd"/>
      <w:r>
        <w:t xml:space="preserve">, to enable </w:t>
      </w:r>
      <w:proofErr w:type="spellStart"/>
      <w:r>
        <w:t>TfNSW</w:t>
      </w:r>
      <w:proofErr w:type="spellEnd"/>
      <w:r>
        <w:t xml:space="preserve"> to meet its obligations under that Act and associated regulatory requirements</w:t>
      </w:r>
      <w:r w:rsidR="00EE6AE2" w:rsidRPr="00E76599">
        <w:t>;</w:t>
      </w:r>
      <w:r w:rsidR="0012671C">
        <w:t xml:space="preserve"> </w:t>
      </w:r>
    </w:p>
    <w:p w14:paraId="13FA8305" w14:textId="148D3D59" w:rsidR="00D82BC0" w:rsidRDefault="00D82BC0" w:rsidP="00D82BC0">
      <w:pPr>
        <w:pStyle w:val="BodyText"/>
        <w:numPr>
          <w:ilvl w:val="0"/>
          <w:numId w:val="49"/>
        </w:numPr>
        <w:ind w:left="3195"/>
      </w:pPr>
      <w:r>
        <w:t xml:space="preserve">continuing to update </w:t>
      </w:r>
      <w:proofErr w:type="spellStart"/>
      <w:r>
        <w:t>TfNSW</w:t>
      </w:r>
      <w:proofErr w:type="spellEnd"/>
      <w:r>
        <w:t xml:space="preserve"> in writing of any change in such material;</w:t>
      </w:r>
    </w:p>
    <w:p w14:paraId="7D72510E" w14:textId="6D33EA26" w:rsidR="00D82BC0" w:rsidRDefault="00D82BC0" w:rsidP="00D82BC0">
      <w:pPr>
        <w:pStyle w:val="BodyText"/>
        <w:numPr>
          <w:ilvl w:val="0"/>
          <w:numId w:val="49"/>
        </w:numPr>
        <w:ind w:left="3195"/>
      </w:pPr>
      <w:r>
        <w:t>taking reasonable steps to ensure that Modern Slavery is not occurring in the operations and supply chains of the Supplier and any entity that it owns or controls;</w:t>
      </w:r>
    </w:p>
    <w:p w14:paraId="7D7EE587" w14:textId="7DE82252" w:rsidR="00D82BC0" w:rsidRDefault="00D82BC0" w:rsidP="00D82BC0">
      <w:pPr>
        <w:pStyle w:val="BodyText"/>
        <w:numPr>
          <w:ilvl w:val="0"/>
          <w:numId w:val="49"/>
        </w:numPr>
        <w:ind w:left="3195"/>
      </w:pPr>
      <w:r>
        <w:t xml:space="preserve">notifying </w:t>
      </w:r>
      <w:proofErr w:type="spellStart"/>
      <w:r>
        <w:t>TfNSW</w:t>
      </w:r>
      <w:proofErr w:type="spellEnd"/>
      <w:r>
        <w:t xml:space="preserve"> of any actual or suspected occurrence of Modern Slavery in its operations or supply chains (or those of </w:t>
      </w:r>
      <w:r w:rsidR="00140EB2">
        <w:t xml:space="preserve">an </w:t>
      </w:r>
      <w:r>
        <w:t xml:space="preserve">entity it owns or controls) and taking reasonable steps to respond to the occurrence in accordance with any internal Modern Slavery </w:t>
      </w:r>
      <w:r w:rsidR="00691F18">
        <w:t>strategy</w:t>
      </w:r>
      <w:r>
        <w:t xml:space="preserve"> and procedures of the Supplier and any relevant Code of Practice/ Conduct or other guidance issued by the Anti-slavery Commissioner or (if </w:t>
      </w:r>
      <w:proofErr w:type="spellStart"/>
      <w:r>
        <w:t>TfNSW</w:t>
      </w:r>
      <w:proofErr w:type="spellEnd"/>
      <w:r>
        <w:t xml:space="preserve"> notifies the Supplier that it requires the Supplier to comply with the relevant NSW Procurement Board guidance) by the NSW Procurement Board; and</w:t>
      </w:r>
    </w:p>
    <w:p w14:paraId="328CEDC5" w14:textId="11D78448" w:rsidR="00EE6AE2" w:rsidRPr="00E76599" w:rsidRDefault="00D82BC0" w:rsidP="00D82BC0">
      <w:pPr>
        <w:pStyle w:val="BodyText"/>
        <w:numPr>
          <w:ilvl w:val="0"/>
          <w:numId w:val="49"/>
        </w:numPr>
        <w:ind w:left="3195"/>
      </w:pPr>
      <w:r>
        <w:t xml:space="preserve">cooperating in any Modern Slavery audit undertaken by </w:t>
      </w:r>
      <w:proofErr w:type="spellStart"/>
      <w:r>
        <w:t>TfNSW</w:t>
      </w:r>
      <w:proofErr w:type="spellEnd"/>
      <w:r>
        <w:t xml:space="preserve"> or the NSW Audit Office and providing reasonable access to </w:t>
      </w:r>
      <w:proofErr w:type="spellStart"/>
      <w:r>
        <w:t>TfNSW’s</w:t>
      </w:r>
      <w:proofErr w:type="spellEnd"/>
      <w:r>
        <w:t xml:space="preserve">/the Audit Office’s auditors to interview the Supplier’s staff; </w:t>
      </w:r>
      <w:r w:rsidR="0012671C">
        <w:t xml:space="preserve">and </w:t>
      </w:r>
    </w:p>
    <w:p w14:paraId="638A72A2" w14:textId="597C4568" w:rsidR="00EE6AE2" w:rsidRPr="00CB1B61" w:rsidRDefault="00EE6AE2" w:rsidP="00D7090C">
      <w:pPr>
        <w:pStyle w:val="Heading5"/>
      </w:pPr>
      <w:bookmarkStart w:id="109" w:name="_Ref8918260"/>
      <w:bookmarkStart w:id="110" w:name="_Ref11494011"/>
      <w:bookmarkEnd w:id="108"/>
      <w:r>
        <w:t xml:space="preserve">any specific </w:t>
      </w:r>
      <w:r w:rsidR="00C05C46">
        <w:t>Law</w:t>
      </w:r>
      <w:r>
        <w:t xml:space="preserve">s, </w:t>
      </w:r>
      <w:r w:rsidRPr="00F2497B">
        <w:t>NSW Government policies</w:t>
      </w:r>
      <w:r>
        <w:t>,</w:t>
      </w:r>
      <w:r w:rsidRPr="00F2497B">
        <w:t xml:space="preserve"> </w:t>
      </w:r>
      <w:r>
        <w:t xml:space="preserve">codes, guidelines and standards </w:t>
      </w:r>
      <w:r w:rsidRPr="00CB1B61">
        <w:t xml:space="preserve">set out in </w:t>
      </w:r>
      <w:bookmarkEnd w:id="109"/>
      <w:r>
        <w:t xml:space="preserve">the Head Agreement Details, or otherwise agreed with </w:t>
      </w:r>
      <w:proofErr w:type="spellStart"/>
      <w:r w:rsidR="002E7CC0">
        <w:t>TfNSW</w:t>
      </w:r>
      <w:proofErr w:type="spellEnd"/>
      <w:r w:rsidRPr="00CB1B61">
        <w:t>; and</w:t>
      </w:r>
      <w:bookmarkEnd w:id="110"/>
      <w:r w:rsidRPr="00CB1B61">
        <w:t xml:space="preserve"> </w:t>
      </w:r>
    </w:p>
    <w:p w14:paraId="515CA969" w14:textId="6F525BB5" w:rsidR="00EE6AE2" w:rsidRDefault="0012671C" w:rsidP="00D7090C">
      <w:pPr>
        <w:pStyle w:val="Heading4"/>
      </w:pPr>
      <w:bookmarkStart w:id="111" w:name="_Hlk11408740"/>
      <w:proofErr w:type="gramStart"/>
      <w:r>
        <w:t>comply</w:t>
      </w:r>
      <w:proofErr w:type="gramEnd"/>
      <w:r>
        <w:t xml:space="preserve"> with any </w:t>
      </w:r>
      <w:bookmarkEnd w:id="111"/>
      <w:r w:rsidR="00EE6AE2" w:rsidRPr="00CB1B61">
        <w:t xml:space="preserve">modifications, updates, amendments and replacements to those items referred to in paragraphs </w:t>
      </w:r>
      <w:r w:rsidR="00EE6AE2">
        <w:fldChar w:fldCharType="begin"/>
      </w:r>
      <w:r w:rsidR="00EE6AE2">
        <w:instrText xml:space="preserve"> REF _Ref8918248 \r \h </w:instrText>
      </w:r>
      <w:r w:rsidR="00EE6AE2">
        <w:fldChar w:fldCharType="separate"/>
      </w:r>
      <w:r w:rsidR="00082E91">
        <w:t>(</w:t>
      </w:r>
      <w:proofErr w:type="spellStart"/>
      <w:r w:rsidR="00082E91">
        <w:t>i</w:t>
      </w:r>
      <w:proofErr w:type="spellEnd"/>
      <w:r w:rsidR="00082E91">
        <w:t>)</w:t>
      </w:r>
      <w:r w:rsidR="00EE6AE2">
        <w:fldChar w:fldCharType="end"/>
      </w:r>
      <w:r w:rsidR="00EE6AE2">
        <w:t>,</w:t>
      </w:r>
      <w:r w:rsidR="00EE6AE2" w:rsidRPr="00CB1B61">
        <w:t xml:space="preserve"> which are </w:t>
      </w:r>
      <w:r w:rsidR="00EE6AE2">
        <w:t>either:</w:t>
      </w:r>
    </w:p>
    <w:p w14:paraId="6ADC04F2" w14:textId="0A0AE735" w:rsidR="00EE6AE2" w:rsidRDefault="00EE6AE2" w:rsidP="00D7090C">
      <w:pPr>
        <w:pStyle w:val="Heading5"/>
      </w:pPr>
      <w:proofErr w:type="gramStart"/>
      <w:r>
        <w:t>notified</w:t>
      </w:r>
      <w:proofErr w:type="gramEnd"/>
      <w:r>
        <w:t xml:space="preserve"> by </w:t>
      </w:r>
      <w:proofErr w:type="spellStart"/>
      <w:r w:rsidR="002E7CC0">
        <w:t>TfNSW</w:t>
      </w:r>
      <w:proofErr w:type="spellEnd"/>
      <w:r>
        <w:t xml:space="preserve"> to the </w:t>
      </w:r>
      <w:r w:rsidR="00D82BC0">
        <w:t xml:space="preserve">Supplier, in which case the Supplier </w:t>
      </w:r>
      <w:r w:rsidR="00C021BD">
        <w:t xml:space="preserve">must comply </w:t>
      </w:r>
      <w:r w:rsidR="00D82BC0">
        <w:t xml:space="preserve">within a reasonable time as specified by </w:t>
      </w:r>
      <w:proofErr w:type="spellStart"/>
      <w:r w:rsidR="00D82BC0">
        <w:t>TfNSW</w:t>
      </w:r>
      <w:proofErr w:type="spellEnd"/>
      <w:r w:rsidR="00D82BC0">
        <w:t xml:space="preserve"> in its notice</w:t>
      </w:r>
      <w:r>
        <w:t xml:space="preserve">; or </w:t>
      </w:r>
    </w:p>
    <w:p w14:paraId="15B6B605" w14:textId="31347694" w:rsidR="00C50426" w:rsidRDefault="00EE6AE2" w:rsidP="00D7090C">
      <w:pPr>
        <w:pStyle w:val="Heading5"/>
      </w:pPr>
      <w:proofErr w:type="gramStart"/>
      <w:r>
        <w:t>which</w:t>
      </w:r>
      <w:proofErr w:type="gramEnd"/>
      <w:r>
        <w:t xml:space="preserve"> the </w:t>
      </w:r>
      <w:r w:rsidR="00D82BC0">
        <w:t>Supplier</w:t>
      </w:r>
      <w:r>
        <w:t xml:space="preserve"> ought reasonably to be aware of</w:t>
      </w:r>
      <w:r w:rsidR="00D82BC0">
        <w:t xml:space="preserve">, in which case the Supplier must comply </w:t>
      </w:r>
      <w:r w:rsidR="00691F18">
        <w:t>within</w:t>
      </w:r>
      <w:r w:rsidR="00D82BC0">
        <w:t xml:space="preserve"> a reasonable time of when it ought reasonably to have been aware</w:t>
      </w:r>
      <w:r w:rsidR="0012671C">
        <w:t>.</w:t>
      </w:r>
    </w:p>
    <w:p w14:paraId="1D71AC45" w14:textId="30620BDD" w:rsidR="00EE6AE2" w:rsidRDefault="00EE6AE2" w:rsidP="00D7090C">
      <w:pPr>
        <w:pStyle w:val="Heading3"/>
      </w:pPr>
      <w:bookmarkStart w:id="112" w:name="_Ref10292676"/>
      <w:r>
        <w:lastRenderedPageBreak/>
        <w:t xml:space="preserve">The </w:t>
      </w:r>
      <w:r w:rsidR="00D82BC0">
        <w:t>Supplier</w:t>
      </w:r>
      <w:r>
        <w:t xml:space="preserve"> may seek the written guidance of </w:t>
      </w:r>
      <w:proofErr w:type="spellStart"/>
      <w:r w:rsidR="002E7CC0">
        <w:t>TfNSW</w:t>
      </w:r>
      <w:proofErr w:type="spellEnd"/>
      <w:r>
        <w:t xml:space="preserve"> on how the </w:t>
      </w:r>
      <w:r w:rsidR="00D82BC0">
        <w:t>Supplier</w:t>
      </w:r>
      <w:r>
        <w:t xml:space="preserve"> may comply with an applicable NSW Government policy.  The </w:t>
      </w:r>
      <w:r w:rsidR="00D82BC0">
        <w:t>Supplier</w:t>
      </w:r>
      <w:r>
        <w:t xml:space="preserve"> will not be in breach of paragraph </w:t>
      </w:r>
      <w:r>
        <w:fldChar w:fldCharType="begin"/>
      </w:r>
      <w:r>
        <w:instrText xml:space="preserve"> REF _Ref10292600 \r \h </w:instrText>
      </w:r>
      <w:r>
        <w:fldChar w:fldCharType="separate"/>
      </w:r>
      <w:r w:rsidR="00082E91">
        <w:t>(a)</w:t>
      </w:r>
      <w:r>
        <w:fldChar w:fldCharType="end"/>
      </w:r>
      <w:r>
        <w:t xml:space="preserve"> if it complies with the then-current written guidance provided by </w:t>
      </w:r>
      <w:proofErr w:type="spellStart"/>
      <w:r w:rsidR="002E7CC0">
        <w:t>TfNSW</w:t>
      </w:r>
      <w:proofErr w:type="spellEnd"/>
      <w:r>
        <w:t xml:space="preserve"> in respect of an applicable NSW Government policy.  </w:t>
      </w:r>
      <w:proofErr w:type="spellStart"/>
      <w:r w:rsidR="002E7CC0">
        <w:t>TfNSW</w:t>
      </w:r>
      <w:proofErr w:type="spellEnd"/>
      <w:r>
        <w:t xml:space="preserve"> may amend or revoke any written guidance it has provided to the </w:t>
      </w:r>
      <w:r w:rsidR="00D82BC0">
        <w:t>Supplier</w:t>
      </w:r>
      <w:r>
        <w:t xml:space="preserve"> under this paragraph</w:t>
      </w:r>
      <w:bookmarkEnd w:id="112"/>
      <w:r>
        <w:t xml:space="preserve"> </w:t>
      </w:r>
      <w:r>
        <w:fldChar w:fldCharType="begin"/>
      </w:r>
      <w:r>
        <w:instrText xml:space="preserve"> REF _Ref10292676 \r \h </w:instrText>
      </w:r>
      <w:r>
        <w:fldChar w:fldCharType="separate"/>
      </w:r>
      <w:r w:rsidR="00082E91">
        <w:t>(b)</w:t>
      </w:r>
      <w:r>
        <w:fldChar w:fldCharType="end"/>
      </w:r>
      <w:r>
        <w:t xml:space="preserve">, by notice to the </w:t>
      </w:r>
      <w:r w:rsidR="00D82BC0">
        <w:t>Supplier</w:t>
      </w:r>
      <w:r>
        <w:t xml:space="preserve">. </w:t>
      </w:r>
    </w:p>
    <w:p w14:paraId="2CEA8D5D" w14:textId="77777777" w:rsidR="005143E3" w:rsidRDefault="005143E3" w:rsidP="00B27508">
      <w:pPr>
        <w:pStyle w:val="Heading2"/>
      </w:pPr>
      <w:bookmarkStart w:id="113" w:name="_Toc15419255"/>
      <w:r>
        <w:t>Conflicts of Interest</w:t>
      </w:r>
      <w:bookmarkEnd w:id="113"/>
    </w:p>
    <w:p w14:paraId="3D3DE866" w14:textId="08973F80" w:rsidR="00B27508" w:rsidRDefault="00CC42F6" w:rsidP="00B27508">
      <w:pPr>
        <w:pStyle w:val="Heading3"/>
      </w:pPr>
      <w:r>
        <w:t xml:space="preserve">The </w:t>
      </w:r>
      <w:r w:rsidR="00D82BC0">
        <w:t>Supplier</w:t>
      </w:r>
      <w:r>
        <w:t xml:space="preserve"> </w:t>
      </w:r>
      <w:r w:rsidR="00C021BD">
        <w:t xml:space="preserve">must </w:t>
      </w:r>
      <w:r>
        <w:t xml:space="preserve">promptly notify </w:t>
      </w:r>
      <w:proofErr w:type="spellStart"/>
      <w:r w:rsidR="002E7CC0">
        <w:t>TfNSW</w:t>
      </w:r>
      <w:proofErr w:type="spellEnd"/>
      <w:r>
        <w:t xml:space="preserve"> if a </w:t>
      </w:r>
      <w:r w:rsidR="00127122">
        <w:t>C</w:t>
      </w:r>
      <w:r w:rsidR="00470B03">
        <w:t>onflict of I</w:t>
      </w:r>
      <w:r>
        <w:t xml:space="preserve">nterest arises or </w:t>
      </w:r>
      <w:r w:rsidR="00B27508">
        <w:t>is</w:t>
      </w:r>
      <w:r>
        <w:t xml:space="preserve"> likely to arise during the </w:t>
      </w:r>
      <w:r w:rsidR="007F3B4D">
        <w:t>Term</w:t>
      </w:r>
      <w:r w:rsidR="00B27508">
        <w:t>,</w:t>
      </w:r>
      <w:r w:rsidR="007F3B4D">
        <w:t xml:space="preserve"> </w:t>
      </w:r>
      <w:r>
        <w:t xml:space="preserve">and </w:t>
      </w:r>
      <w:r w:rsidR="00C021BD">
        <w:t xml:space="preserve">must </w:t>
      </w:r>
      <w:r>
        <w:t xml:space="preserve">take action as may be reasonably required by </w:t>
      </w:r>
      <w:proofErr w:type="spellStart"/>
      <w:r w:rsidR="002E7CC0">
        <w:t>TfNSW</w:t>
      </w:r>
      <w:proofErr w:type="spellEnd"/>
      <w:r>
        <w:t xml:space="preserve"> to avoid or minimise such conflict. </w:t>
      </w:r>
    </w:p>
    <w:p w14:paraId="0B097310" w14:textId="58502E3A" w:rsidR="00AB06F8" w:rsidRDefault="00B27508" w:rsidP="00B27508">
      <w:pPr>
        <w:pStyle w:val="Heading3"/>
      </w:pPr>
      <w:r>
        <w:t xml:space="preserve">If such Conflict of Interest </w:t>
      </w:r>
      <w:r w:rsidR="00CC42F6">
        <w:t>significantly affect</w:t>
      </w:r>
      <w:r>
        <w:t>s</w:t>
      </w:r>
      <w:r w:rsidR="00CC42F6">
        <w:t xml:space="preserve"> the interests of </w:t>
      </w:r>
      <w:proofErr w:type="spellStart"/>
      <w:r w:rsidR="002E7CC0">
        <w:t>TfNSW</w:t>
      </w:r>
      <w:proofErr w:type="spellEnd"/>
      <w:r>
        <w:t xml:space="preserve">, and the </w:t>
      </w:r>
      <w:r w:rsidR="00D82BC0">
        <w:t>Supplier</w:t>
      </w:r>
      <w:r>
        <w:t xml:space="preserve"> is unable to satisfactorily resolve the matter </w:t>
      </w:r>
      <w:r w:rsidR="00CC42F6">
        <w:t xml:space="preserve">within </w:t>
      </w:r>
      <w:r>
        <w:t>14</w:t>
      </w:r>
      <w:r w:rsidR="00CC42F6">
        <w:t xml:space="preserve"> days of receipt of the notice by </w:t>
      </w:r>
      <w:proofErr w:type="spellStart"/>
      <w:r w:rsidR="002E7CC0">
        <w:t>TfNSW</w:t>
      </w:r>
      <w:proofErr w:type="spellEnd"/>
      <w:r w:rsidR="00CC42F6">
        <w:t xml:space="preserve">, </w:t>
      </w:r>
      <w:r>
        <w:t xml:space="preserve">then the existence of that Conflict of Interest will be </w:t>
      </w:r>
      <w:r w:rsidR="00CC42F6">
        <w:t xml:space="preserve">a breach of the </w:t>
      </w:r>
      <w:r w:rsidR="00905F2B">
        <w:t xml:space="preserve">Head Agreement </w:t>
      </w:r>
      <w:r w:rsidR="00CC42F6">
        <w:t>for the purposes of clause</w:t>
      </w:r>
      <w:r w:rsidR="00102F00">
        <w:t>s</w:t>
      </w:r>
      <w:r w:rsidR="00130878">
        <w:t xml:space="preserve"> </w:t>
      </w:r>
      <w:r w:rsidR="00392EAD">
        <w:fldChar w:fldCharType="begin"/>
      </w:r>
      <w:r w:rsidR="00392EAD">
        <w:instrText xml:space="preserve"> REF _Ref11677468 \r \h </w:instrText>
      </w:r>
      <w:r w:rsidR="00392EAD">
        <w:fldChar w:fldCharType="separate"/>
      </w:r>
      <w:r w:rsidR="00082E91">
        <w:t>13.1</w:t>
      </w:r>
      <w:r w:rsidR="00392EAD">
        <w:fldChar w:fldCharType="end"/>
      </w:r>
      <w:r w:rsidR="00102F00">
        <w:t xml:space="preserve"> and </w:t>
      </w:r>
      <w:r w:rsidR="00102F00">
        <w:fldChar w:fldCharType="begin"/>
      </w:r>
      <w:r w:rsidR="00102F00">
        <w:instrText xml:space="preserve"> REF _Ref25684138 \w \h </w:instrText>
      </w:r>
      <w:r w:rsidR="00102F00">
        <w:fldChar w:fldCharType="separate"/>
      </w:r>
      <w:r w:rsidR="00102F00">
        <w:t>13.2</w:t>
      </w:r>
      <w:r w:rsidR="00102F00">
        <w:fldChar w:fldCharType="end"/>
      </w:r>
      <w:r w:rsidR="00CC42F6">
        <w:t>.</w:t>
      </w:r>
    </w:p>
    <w:p w14:paraId="048FF6C5" w14:textId="77777777" w:rsidR="00D224EE" w:rsidRPr="00625C70" w:rsidRDefault="008B1684" w:rsidP="00B27508">
      <w:pPr>
        <w:pStyle w:val="Heading1"/>
      </w:pPr>
      <w:bookmarkStart w:id="114" w:name="_Ref10112831"/>
      <w:bookmarkStart w:id="115" w:name="_Toc15419256"/>
      <w:r w:rsidRPr="00625C70">
        <w:t>Indemnities and liability</w:t>
      </w:r>
      <w:bookmarkEnd w:id="114"/>
      <w:bookmarkEnd w:id="115"/>
    </w:p>
    <w:p w14:paraId="21FAA1C2" w14:textId="75B3C129" w:rsidR="00EE6AE2" w:rsidRDefault="00D82BC0" w:rsidP="00B27508">
      <w:pPr>
        <w:pStyle w:val="Heading2"/>
      </w:pPr>
      <w:bookmarkStart w:id="116" w:name="_Ref10369853"/>
      <w:bookmarkStart w:id="117" w:name="_Toc10644177"/>
      <w:bookmarkStart w:id="118" w:name="_Ref10666491"/>
      <w:bookmarkStart w:id="119" w:name="_Toc15419257"/>
      <w:r>
        <w:t>Supplier</w:t>
      </w:r>
      <w:r w:rsidR="003467D1">
        <w:t>’</w:t>
      </w:r>
      <w:r w:rsidR="00EE6AE2">
        <w:t>s indemnity</w:t>
      </w:r>
      <w:bookmarkEnd w:id="116"/>
      <w:bookmarkEnd w:id="117"/>
      <w:bookmarkEnd w:id="118"/>
      <w:bookmarkEnd w:id="119"/>
    </w:p>
    <w:p w14:paraId="271C602D" w14:textId="58FB88FD" w:rsidR="00EE6AE2" w:rsidRPr="00B27508" w:rsidRDefault="00EE6AE2" w:rsidP="00F82EC2">
      <w:pPr>
        <w:pStyle w:val="BodyText"/>
      </w:pPr>
      <w:bookmarkStart w:id="120" w:name="_Ref11440664"/>
      <w:bookmarkStart w:id="121" w:name="_Hlk10110852"/>
      <w:r w:rsidRPr="002D1AC9">
        <w:t xml:space="preserve">The </w:t>
      </w:r>
      <w:r w:rsidR="00D82BC0">
        <w:t>Supplier</w:t>
      </w:r>
      <w:r w:rsidRPr="002D1AC9">
        <w:t xml:space="preserve"> indemnifies</w:t>
      </w:r>
      <w:r>
        <w:t xml:space="preserve"> </w:t>
      </w:r>
      <w:proofErr w:type="spellStart"/>
      <w:r w:rsidR="002E7CC0">
        <w:t>TfNSW</w:t>
      </w:r>
      <w:proofErr w:type="spellEnd"/>
      <w:r>
        <w:t xml:space="preserve">, the State of New South </w:t>
      </w:r>
      <w:r w:rsidRPr="00B27508">
        <w:t xml:space="preserve">Wales, </w:t>
      </w:r>
      <w:proofErr w:type="spellStart"/>
      <w:r w:rsidR="002E7CC0">
        <w:t>TfNSW</w:t>
      </w:r>
      <w:r w:rsidR="003467D1">
        <w:t>’</w:t>
      </w:r>
      <w:r w:rsidR="00DB2714" w:rsidRPr="00B27508">
        <w:t>s</w:t>
      </w:r>
      <w:proofErr w:type="spellEnd"/>
      <w:r w:rsidR="00DB2714" w:rsidRPr="00B27508">
        <w:t xml:space="preserve"> </w:t>
      </w:r>
      <w:r w:rsidRPr="00B27508">
        <w:t>Personn</w:t>
      </w:r>
      <w:r w:rsidR="00541060">
        <w:t>el and</w:t>
      </w:r>
      <w:r w:rsidRPr="00B27508">
        <w:t xml:space="preserve"> </w:t>
      </w:r>
      <w:r w:rsidR="00DB2714" w:rsidRPr="00B27508">
        <w:t xml:space="preserve">each </w:t>
      </w:r>
      <w:r w:rsidR="00431085">
        <w:t xml:space="preserve">Eligible Customer </w:t>
      </w:r>
      <w:r w:rsidR="00DB2714" w:rsidRPr="00B27508">
        <w:t xml:space="preserve">including the </w:t>
      </w:r>
      <w:r w:rsidRPr="00B27508">
        <w:t>head</w:t>
      </w:r>
      <w:r w:rsidR="00DB2714" w:rsidRPr="00B27508">
        <w:t>s</w:t>
      </w:r>
      <w:r w:rsidRPr="00B27508">
        <w:t xml:space="preserve"> of agency and responsible Minister</w:t>
      </w:r>
      <w:r w:rsidR="00DB2714" w:rsidRPr="00B27508">
        <w:t>s</w:t>
      </w:r>
      <w:r w:rsidRPr="00B27508">
        <w:t xml:space="preserve"> </w:t>
      </w:r>
      <w:r w:rsidRPr="000A1FDB">
        <w:t>against</w:t>
      </w:r>
      <w:r w:rsidRPr="00B27508">
        <w:t xml:space="preserve"> any loss or damage arising out of, or connected with:</w:t>
      </w:r>
      <w:bookmarkEnd w:id="120"/>
    </w:p>
    <w:p w14:paraId="06A269E1" w14:textId="6A4B19B3" w:rsidR="00EE6AE2" w:rsidRPr="00B27508" w:rsidRDefault="00EE6AE2" w:rsidP="00F82EC2">
      <w:pPr>
        <w:pStyle w:val="Heading3"/>
      </w:pPr>
      <w:proofErr w:type="gramStart"/>
      <w:r w:rsidRPr="00B27508">
        <w:t>the</w:t>
      </w:r>
      <w:proofErr w:type="gramEnd"/>
      <w:r w:rsidRPr="00B27508">
        <w:t xml:space="preserve"> personal injury or death to any person or damage to, or loss of any property caused or contributed to by an act or omission of the </w:t>
      </w:r>
      <w:r w:rsidR="00D82BC0">
        <w:t>Supplier</w:t>
      </w:r>
      <w:r w:rsidRPr="00B27508">
        <w:t xml:space="preserve"> or any of the </w:t>
      </w:r>
      <w:r w:rsidR="00D82BC0">
        <w:t>Supplier</w:t>
      </w:r>
      <w:r w:rsidR="003467D1">
        <w:t>’</w:t>
      </w:r>
      <w:r w:rsidRPr="00B27508">
        <w:t>s Personnel;</w:t>
      </w:r>
    </w:p>
    <w:p w14:paraId="1FC493D0" w14:textId="5E65DE6A" w:rsidR="00EE6AE2" w:rsidRPr="00B27508" w:rsidRDefault="00F82EC2" w:rsidP="00F82EC2">
      <w:pPr>
        <w:pStyle w:val="Heading3"/>
      </w:pPr>
      <w:bookmarkStart w:id="122" w:name="_Ref9877752"/>
      <w:bookmarkStart w:id="123" w:name="_Ref11494549"/>
      <w:r>
        <w:t xml:space="preserve">a claim brought by a third party in respect of </w:t>
      </w:r>
      <w:r w:rsidR="00B27508" w:rsidRPr="00B27508">
        <w:t xml:space="preserve">the </w:t>
      </w:r>
      <w:r w:rsidR="001035FA" w:rsidRPr="00B27508">
        <w:t xml:space="preserve">infringement of </w:t>
      </w:r>
      <w:r>
        <w:t xml:space="preserve">that </w:t>
      </w:r>
      <w:r w:rsidR="001035FA" w:rsidRPr="00B27508">
        <w:t>third party</w:t>
      </w:r>
      <w:r w:rsidR="003467D1">
        <w:t>’</w:t>
      </w:r>
      <w:r w:rsidR="001035FA" w:rsidRPr="00B27508">
        <w:t xml:space="preserve">s </w:t>
      </w:r>
      <w:r w:rsidR="00BC5BB8">
        <w:t>I</w:t>
      </w:r>
      <w:r w:rsidR="001035FA" w:rsidRPr="00B27508">
        <w:t xml:space="preserve">ntellectual </w:t>
      </w:r>
      <w:r w:rsidR="00BC5BB8">
        <w:t>P</w:t>
      </w:r>
      <w:r w:rsidR="001035FA" w:rsidRPr="00B27508">
        <w:t xml:space="preserve">roperty </w:t>
      </w:r>
      <w:r w:rsidR="00BC5BB8">
        <w:t>R</w:t>
      </w:r>
      <w:r w:rsidR="001035FA" w:rsidRPr="00B27508">
        <w:t>ights</w:t>
      </w:r>
      <w:r>
        <w:t>;</w:t>
      </w:r>
      <w:r w:rsidR="001035FA" w:rsidRPr="00B27508">
        <w:t xml:space="preserve"> </w:t>
      </w:r>
      <w:bookmarkEnd w:id="122"/>
      <w:bookmarkEnd w:id="123"/>
    </w:p>
    <w:p w14:paraId="53675972" w14:textId="554EE12A" w:rsidR="00EE6AE2" w:rsidRPr="00B27508" w:rsidRDefault="00EE6AE2" w:rsidP="00F82EC2">
      <w:pPr>
        <w:pStyle w:val="Heading3"/>
      </w:pPr>
      <w:proofErr w:type="gramStart"/>
      <w:r w:rsidRPr="00B27508">
        <w:t>a</w:t>
      </w:r>
      <w:proofErr w:type="gramEnd"/>
      <w:r w:rsidRPr="00B27508">
        <w:t xml:space="preserve"> breach of any of clauses</w:t>
      </w:r>
      <w:r w:rsidR="00AD4EA1" w:rsidRPr="00B27508">
        <w:t xml:space="preserve"> </w:t>
      </w:r>
      <w:r w:rsidR="00AD4EA1" w:rsidRPr="00B27508">
        <w:fldChar w:fldCharType="begin"/>
      </w:r>
      <w:r w:rsidR="00AD4EA1" w:rsidRPr="00B27508">
        <w:instrText xml:space="preserve"> REF _Ref10666377 \w \h </w:instrText>
      </w:r>
      <w:r w:rsidR="00B27508">
        <w:instrText xml:space="preserve"> \* MERGEFORMAT </w:instrText>
      </w:r>
      <w:r w:rsidR="00AD4EA1" w:rsidRPr="00B27508">
        <w:fldChar w:fldCharType="separate"/>
      </w:r>
      <w:r w:rsidR="00082E91">
        <w:t>8</w:t>
      </w:r>
      <w:r w:rsidR="00AD4EA1" w:rsidRPr="00B27508">
        <w:fldChar w:fldCharType="end"/>
      </w:r>
      <w:r w:rsidR="00AD4EA1" w:rsidRPr="00B27508">
        <w:t xml:space="preserve"> </w:t>
      </w:r>
      <w:r w:rsidR="0002773B">
        <w:t>to</w:t>
      </w:r>
      <w:r w:rsidR="00C021BD">
        <w:t xml:space="preserve"> </w:t>
      </w:r>
      <w:r w:rsidR="00C021BD">
        <w:fldChar w:fldCharType="begin"/>
      </w:r>
      <w:r w:rsidR="00C021BD">
        <w:instrText xml:space="preserve"> REF _Ref24115454 \w \h </w:instrText>
      </w:r>
      <w:r w:rsidR="00C021BD">
        <w:fldChar w:fldCharType="separate"/>
      </w:r>
      <w:r w:rsidR="00082E91">
        <w:t>11</w:t>
      </w:r>
      <w:r w:rsidR="00C021BD">
        <w:fldChar w:fldCharType="end"/>
      </w:r>
      <w:r w:rsidR="00AD4EA1" w:rsidRPr="00B27508">
        <w:t>;</w:t>
      </w:r>
      <w:r w:rsidR="00B27508">
        <w:t xml:space="preserve"> and</w:t>
      </w:r>
    </w:p>
    <w:p w14:paraId="3EDF3DCF" w14:textId="0CFAD706" w:rsidR="00EE6AE2" w:rsidRPr="00B27508" w:rsidRDefault="00EE6AE2" w:rsidP="00F82EC2">
      <w:pPr>
        <w:pStyle w:val="Heading3"/>
      </w:pPr>
      <w:bookmarkStart w:id="124" w:name="_Ref21530034"/>
      <w:proofErr w:type="gramStart"/>
      <w:r w:rsidRPr="00B27508">
        <w:t>the</w:t>
      </w:r>
      <w:proofErr w:type="gramEnd"/>
      <w:r w:rsidRPr="00B27508">
        <w:t xml:space="preserve"> </w:t>
      </w:r>
      <w:r w:rsidR="00D82BC0">
        <w:t>Supplier</w:t>
      </w:r>
      <w:r w:rsidR="003467D1">
        <w:t>’</w:t>
      </w:r>
      <w:r w:rsidRPr="00B27508">
        <w:t xml:space="preserve">s or any of the </w:t>
      </w:r>
      <w:r w:rsidR="00D82BC0">
        <w:t>Supplier</w:t>
      </w:r>
      <w:r w:rsidR="003467D1">
        <w:t>’</w:t>
      </w:r>
      <w:r w:rsidRPr="00B27508">
        <w:t>s Personnel</w:t>
      </w:r>
      <w:r w:rsidR="003467D1">
        <w:t>’</w:t>
      </w:r>
      <w:r w:rsidRPr="00B27508">
        <w:t>s fraud, negligence, wilful misconduct or other wrongful acts or omissions.</w:t>
      </w:r>
      <w:bookmarkEnd w:id="124"/>
    </w:p>
    <w:p w14:paraId="3A8CBE5A" w14:textId="77777777" w:rsidR="00DB2714" w:rsidRDefault="00DB2714" w:rsidP="000A1FDB">
      <w:pPr>
        <w:pStyle w:val="Heading2"/>
      </w:pPr>
      <w:bookmarkStart w:id="125" w:name="_Ref10369928"/>
      <w:bookmarkStart w:id="126" w:name="_Toc10644178"/>
      <w:bookmarkStart w:id="127" w:name="_Toc15419258"/>
      <w:bookmarkStart w:id="128" w:name="_Ref10104355"/>
      <w:bookmarkStart w:id="129" w:name="_Toc10111894"/>
      <w:bookmarkEnd w:id="121"/>
      <w:r>
        <w:t>Uncapped and unlimited liability</w:t>
      </w:r>
      <w:bookmarkEnd w:id="125"/>
      <w:bookmarkEnd w:id="126"/>
      <w:bookmarkEnd w:id="127"/>
    </w:p>
    <w:p w14:paraId="446F56B1" w14:textId="5FC23CEA" w:rsidR="00DB2714" w:rsidRDefault="00DB2714" w:rsidP="000A1FDB">
      <w:pPr>
        <w:pStyle w:val="BodyText"/>
      </w:pPr>
      <w:r w:rsidRPr="009F15FB">
        <w:t xml:space="preserve">The </w:t>
      </w:r>
      <w:r>
        <w:t xml:space="preserve">liability of each party </w:t>
      </w:r>
      <w:r w:rsidRPr="009F15FB">
        <w:t xml:space="preserve">under </w:t>
      </w:r>
      <w:r>
        <w:t xml:space="preserve">this Head Agreement </w:t>
      </w:r>
      <w:r w:rsidRPr="009F15FB">
        <w:t xml:space="preserve">is uncapped, and the exclusions of liability </w:t>
      </w:r>
      <w:r w:rsidRPr="00D73E33">
        <w:t xml:space="preserve">set out in clause </w:t>
      </w:r>
      <w:r>
        <w:fldChar w:fldCharType="begin"/>
      </w:r>
      <w:r>
        <w:instrText xml:space="preserve"> REF _Ref10645344 \w \h </w:instrText>
      </w:r>
      <w:r>
        <w:fldChar w:fldCharType="separate"/>
      </w:r>
      <w:r w:rsidR="00082E91">
        <w:t>12.4</w:t>
      </w:r>
      <w:r>
        <w:fldChar w:fldCharType="end"/>
      </w:r>
      <w:r>
        <w:t xml:space="preserve"> </w:t>
      </w:r>
      <w:r w:rsidRPr="009F15FB">
        <w:t>do not apply, in relation to each of the following:</w:t>
      </w:r>
    </w:p>
    <w:p w14:paraId="7E5D8F86" w14:textId="2093994A" w:rsidR="00DB2714" w:rsidRDefault="00DB2714" w:rsidP="000A1FDB">
      <w:pPr>
        <w:pStyle w:val="Heading3"/>
      </w:pPr>
      <w:proofErr w:type="gramStart"/>
      <w:r>
        <w:t>any</w:t>
      </w:r>
      <w:proofErr w:type="gramEnd"/>
      <w:r>
        <w:t xml:space="preserve"> of the indemnities provided under clause </w:t>
      </w:r>
      <w:r w:rsidR="00AD4EA1">
        <w:fldChar w:fldCharType="begin"/>
      </w:r>
      <w:r w:rsidR="00AD4EA1">
        <w:instrText xml:space="preserve"> REF _Ref10666491 \w \h </w:instrText>
      </w:r>
      <w:r w:rsidR="00AD4EA1">
        <w:fldChar w:fldCharType="separate"/>
      </w:r>
      <w:r w:rsidR="00082E91">
        <w:t>12.1</w:t>
      </w:r>
      <w:r w:rsidR="00AD4EA1">
        <w:fldChar w:fldCharType="end"/>
      </w:r>
      <w:r w:rsidR="00F82EC2">
        <w:t xml:space="preserve"> (excluding the indemnity given by the Supplier under clause </w:t>
      </w:r>
      <w:r w:rsidR="00F82EC2">
        <w:fldChar w:fldCharType="begin"/>
      </w:r>
      <w:r w:rsidR="00F82EC2">
        <w:instrText xml:space="preserve"> REF _Ref21530034 \r \h </w:instrText>
      </w:r>
      <w:r w:rsidR="00F82EC2">
        <w:fldChar w:fldCharType="separate"/>
      </w:r>
      <w:r w:rsidR="00082E91">
        <w:t>12.1(d)</w:t>
      </w:r>
      <w:r w:rsidR="00F82EC2">
        <w:fldChar w:fldCharType="end"/>
      </w:r>
      <w:r w:rsidR="00F82EC2">
        <w:t xml:space="preserve"> in respect of negligence)</w:t>
      </w:r>
      <w:r w:rsidR="00AD4EA1">
        <w:t>;</w:t>
      </w:r>
    </w:p>
    <w:p w14:paraId="665815F7" w14:textId="57F3708A" w:rsidR="00DB2714" w:rsidRDefault="00DB2714" w:rsidP="000A1FDB">
      <w:pPr>
        <w:pStyle w:val="Heading3"/>
      </w:pPr>
      <w:proofErr w:type="gramStart"/>
      <w:r>
        <w:t>the</w:t>
      </w:r>
      <w:proofErr w:type="gramEnd"/>
      <w:r>
        <w:t xml:space="preserve"> personal injury or death to any person or damage to, or loss of any property caused or contributed to by an act or omission of the party or its Personnel; </w:t>
      </w:r>
      <w:r w:rsidR="00130878">
        <w:t>and</w:t>
      </w:r>
    </w:p>
    <w:p w14:paraId="5C4FA289" w14:textId="77777777" w:rsidR="00DB2714" w:rsidRPr="00D73E33" w:rsidRDefault="00DB2714" w:rsidP="000A1FDB">
      <w:pPr>
        <w:pStyle w:val="Heading3"/>
      </w:pPr>
      <w:proofErr w:type="gramStart"/>
      <w:r>
        <w:t>loss</w:t>
      </w:r>
      <w:proofErr w:type="gramEnd"/>
      <w:r>
        <w:t xml:space="preserve"> or damage caused by the party</w:t>
      </w:r>
      <w:r w:rsidR="003467D1">
        <w:t>’</w:t>
      </w:r>
      <w:r>
        <w:t>s fraud, negligence, wilful misconduct or other wrongful acts or omissions</w:t>
      </w:r>
      <w:r w:rsidRPr="00D73E33">
        <w:t>.</w:t>
      </w:r>
    </w:p>
    <w:p w14:paraId="761B3AA2" w14:textId="77777777" w:rsidR="00DB2714" w:rsidRDefault="00DB2714" w:rsidP="000A1FDB">
      <w:pPr>
        <w:pStyle w:val="Heading2"/>
      </w:pPr>
      <w:bookmarkStart w:id="130" w:name="_Toc10644179"/>
      <w:bookmarkStart w:id="131" w:name="_Ref10666526"/>
      <w:bookmarkStart w:id="132" w:name="_Toc15419259"/>
      <w:bookmarkStart w:id="133" w:name="_Ref8834779"/>
      <w:bookmarkStart w:id="134" w:name="_Toc10111896"/>
      <w:bookmarkEnd w:id="128"/>
      <w:bookmarkEnd w:id="129"/>
      <w:r w:rsidRPr="009D7178">
        <w:t>General Liability Cap</w:t>
      </w:r>
      <w:bookmarkEnd w:id="130"/>
      <w:bookmarkEnd w:id="131"/>
      <w:bookmarkEnd w:id="132"/>
    </w:p>
    <w:p w14:paraId="0DA54307" w14:textId="32028B03" w:rsidR="004A0FDF" w:rsidRPr="009B3FEF" w:rsidRDefault="00DB2714" w:rsidP="000A1FDB">
      <w:pPr>
        <w:pStyle w:val="BodyText"/>
        <w:rPr>
          <w:b/>
        </w:rPr>
      </w:pPr>
      <w:r w:rsidRPr="00A04220">
        <w:t xml:space="preserve">Except where clause </w:t>
      </w:r>
      <w:r w:rsidR="00AD4EA1">
        <w:fldChar w:fldCharType="begin"/>
      </w:r>
      <w:r w:rsidR="00AD4EA1">
        <w:instrText xml:space="preserve"> REF _Ref10369928 \w \h </w:instrText>
      </w:r>
      <w:r w:rsidR="00AD4EA1">
        <w:fldChar w:fldCharType="separate"/>
      </w:r>
      <w:r w:rsidR="00082E91">
        <w:t>12.2</w:t>
      </w:r>
      <w:r w:rsidR="00AD4EA1">
        <w:fldChar w:fldCharType="end"/>
      </w:r>
      <w:r>
        <w:t xml:space="preserve"> applies</w:t>
      </w:r>
      <w:r w:rsidRPr="00A04220">
        <w:t>, the liability</w:t>
      </w:r>
      <w:r w:rsidR="002D4366">
        <w:t xml:space="preserve"> </w:t>
      </w:r>
      <w:r w:rsidRPr="00A04220">
        <w:t xml:space="preserve">of </w:t>
      </w:r>
      <w:r>
        <w:t xml:space="preserve">each party </w:t>
      </w:r>
      <w:r w:rsidRPr="00A04220">
        <w:t xml:space="preserve">under </w:t>
      </w:r>
      <w:r>
        <w:t xml:space="preserve">this </w:t>
      </w:r>
      <w:r w:rsidR="00B32AA1">
        <w:t xml:space="preserve">Head Agreement </w:t>
      </w:r>
      <w:r>
        <w:t xml:space="preserve">for all causes of action </w:t>
      </w:r>
      <w:r w:rsidR="00F82EC2">
        <w:t xml:space="preserve">arising out of or in connection with this Head Agreement (but excluding liability arising under a Customer Contract) </w:t>
      </w:r>
      <w:r>
        <w:t xml:space="preserve">will not exceed </w:t>
      </w:r>
      <w:r w:rsidR="00F82EC2">
        <w:rPr>
          <w:rFonts w:cs="Arial"/>
        </w:rPr>
        <w:t>$</w:t>
      </w:r>
      <w:r w:rsidR="00130878" w:rsidRPr="00130878">
        <w:rPr>
          <w:rFonts w:cs="Arial"/>
        </w:rPr>
        <w:t>5 million</w:t>
      </w:r>
      <w:r w:rsidR="00F82EC2">
        <w:rPr>
          <w:rFonts w:cs="Arial"/>
        </w:rPr>
        <w:t xml:space="preserve"> in aggregate</w:t>
      </w:r>
      <w:r w:rsidR="00B32AA1">
        <w:t>.</w:t>
      </w:r>
      <w:r w:rsidR="00973792">
        <w:t xml:space="preserve">  </w:t>
      </w:r>
    </w:p>
    <w:p w14:paraId="180925DB" w14:textId="77777777" w:rsidR="008B1684" w:rsidRDefault="008B1684" w:rsidP="00965C2F">
      <w:pPr>
        <w:pStyle w:val="Heading2"/>
        <w:tabs>
          <w:tab w:val="clear" w:pos="567"/>
          <w:tab w:val="num" w:pos="709"/>
          <w:tab w:val="left" w:pos="1134"/>
          <w:tab w:val="num" w:pos="1276"/>
        </w:tabs>
        <w:ind w:left="2410" w:hanging="1701"/>
      </w:pPr>
      <w:bookmarkStart w:id="135" w:name="_Ref10645344"/>
      <w:bookmarkStart w:id="136" w:name="_Toc15419260"/>
      <w:r>
        <w:lastRenderedPageBreak/>
        <w:t>Exclusions of liability</w:t>
      </w:r>
      <w:bookmarkEnd w:id="133"/>
      <w:bookmarkEnd w:id="134"/>
      <w:bookmarkEnd w:id="135"/>
      <w:bookmarkEnd w:id="136"/>
    </w:p>
    <w:p w14:paraId="31FE12E2" w14:textId="3F5EB87D" w:rsidR="00DB2714" w:rsidRDefault="00DB2714" w:rsidP="000A1FDB">
      <w:pPr>
        <w:pStyle w:val="BodyText"/>
      </w:pPr>
      <w:bookmarkStart w:id="137" w:name="_Toc10111897"/>
      <w:r>
        <w:t>E</w:t>
      </w:r>
      <w:r w:rsidRPr="002D1AC9">
        <w:t xml:space="preserve">xcept where clause </w:t>
      </w:r>
      <w:r w:rsidR="00AD4EA1">
        <w:fldChar w:fldCharType="begin"/>
      </w:r>
      <w:r w:rsidR="00AD4EA1">
        <w:instrText xml:space="preserve"> REF _Ref10369928 \w \h </w:instrText>
      </w:r>
      <w:r w:rsidR="00AD4EA1">
        <w:fldChar w:fldCharType="separate"/>
      </w:r>
      <w:r w:rsidR="00082E91">
        <w:t>12.2</w:t>
      </w:r>
      <w:r w:rsidR="00AD4EA1">
        <w:fldChar w:fldCharType="end"/>
      </w:r>
      <w:r w:rsidR="00AD4EA1">
        <w:t xml:space="preserve"> </w:t>
      </w:r>
      <w:r w:rsidRPr="002D1AC9">
        <w:t>applies</w:t>
      </w:r>
      <w:r>
        <w:t xml:space="preserve">, a party is not liable </w:t>
      </w:r>
      <w:r w:rsidRPr="009F15FB">
        <w:t xml:space="preserve">under </w:t>
      </w:r>
      <w:r w:rsidR="000A1FDB">
        <w:t>this Head Agreement</w:t>
      </w:r>
      <w:r w:rsidRPr="00A24E71">
        <w:t xml:space="preserve"> for</w:t>
      </w:r>
      <w:r>
        <w:t xml:space="preserve"> any indirect </w:t>
      </w:r>
      <w:r w:rsidRPr="008144E3">
        <w:t xml:space="preserve">or consequential </w:t>
      </w:r>
      <w:r>
        <w:t xml:space="preserve">loss including for </w:t>
      </w:r>
      <w:r w:rsidRPr="00312F6D">
        <w:t xml:space="preserve">loss of revenue, loss of profit </w:t>
      </w:r>
      <w:r>
        <w:t>or</w:t>
      </w:r>
      <w:r w:rsidRPr="00312F6D">
        <w:t xml:space="preserve"> loss of anticipated savings</w:t>
      </w:r>
      <w:r>
        <w:t xml:space="preserve">. However, </w:t>
      </w:r>
      <w:r w:rsidR="00F82EC2">
        <w:t xml:space="preserve">the exclusion of indirect or consequential loss </w:t>
      </w:r>
      <w:r>
        <w:t xml:space="preserve">does not preclude the recovery by a party of loss or damage which may </w:t>
      </w:r>
      <w:r w:rsidRPr="00866CFA">
        <w:t xml:space="preserve">fairly and reasonably be considered to arise </w:t>
      </w:r>
      <w:proofErr w:type="gramStart"/>
      <w:r w:rsidRPr="00866CFA">
        <w:t>naturally, that is according to the usual course of things,</w:t>
      </w:r>
      <w:proofErr w:type="gramEnd"/>
      <w:r w:rsidRPr="00866CFA">
        <w:t xml:space="preserve"> from the breach or other act or omission </w:t>
      </w:r>
      <w:r w:rsidR="00F82EC2">
        <w:t>giving rise to liability</w:t>
      </w:r>
      <w:r>
        <w:t>.</w:t>
      </w:r>
    </w:p>
    <w:p w14:paraId="7B273726" w14:textId="77777777" w:rsidR="00DB2714" w:rsidRDefault="00DB2714" w:rsidP="00965C2F">
      <w:pPr>
        <w:pStyle w:val="Heading2"/>
        <w:tabs>
          <w:tab w:val="clear" w:pos="567"/>
          <w:tab w:val="num" w:pos="709"/>
          <w:tab w:val="left" w:pos="1134"/>
          <w:tab w:val="num" w:pos="1276"/>
        </w:tabs>
        <w:ind w:left="2410" w:hanging="1701"/>
      </w:pPr>
      <w:bookmarkStart w:id="138" w:name="_Toc10644181"/>
      <w:bookmarkStart w:id="139" w:name="_Toc15419261"/>
      <w:bookmarkStart w:id="140" w:name="_Ref10036787"/>
      <w:bookmarkEnd w:id="137"/>
      <w:r w:rsidRPr="00D73E33">
        <w:t>Application</w:t>
      </w:r>
      <w:bookmarkEnd w:id="138"/>
      <w:bookmarkEnd w:id="139"/>
    </w:p>
    <w:p w14:paraId="2A7B9ED9" w14:textId="1F090939" w:rsidR="00DB2714" w:rsidRDefault="00DB2714" w:rsidP="00541060">
      <w:pPr>
        <w:pStyle w:val="BodyText"/>
      </w:pPr>
      <w:r>
        <w:t>The</w:t>
      </w:r>
      <w:r w:rsidRPr="00A24E71">
        <w:t xml:space="preserve"> limitations </w:t>
      </w:r>
      <w:r>
        <w:t xml:space="preserve">and exclusions of </w:t>
      </w:r>
      <w:r w:rsidRPr="00A24E71">
        <w:t>liability</w:t>
      </w:r>
      <w:r w:rsidRPr="008144E3">
        <w:t xml:space="preserve"> </w:t>
      </w:r>
      <w:r>
        <w:t xml:space="preserve">in this clause </w:t>
      </w:r>
      <w:r w:rsidR="00AD4EA1">
        <w:fldChar w:fldCharType="begin"/>
      </w:r>
      <w:r w:rsidR="00AD4EA1">
        <w:instrText xml:space="preserve"> REF _Ref10112831 \w \h </w:instrText>
      </w:r>
      <w:r w:rsidR="00AD4EA1">
        <w:fldChar w:fldCharType="separate"/>
      </w:r>
      <w:r w:rsidR="00082E91">
        <w:t>12</w:t>
      </w:r>
      <w:r w:rsidR="00AD4EA1">
        <w:fldChar w:fldCharType="end"/>
      </w:r>
      <w:r w:rsidR="00AD4EA1">
        <w:t xml:space="preserve"> </w:t>
      </w:r>
      <w:r>
        <w:t xml:space="preserve">only apply to the extent permitted by </w:t>
      </w:r>
      <w:r w:rsidR="00C05C46">
        <w:t>Law</w:t>
      </w:r>
      <w:r>
        <w:t xml:space="preserve">. </w:t>
      </w:r>
    </w:p>
    <w:p w14:paraId="6389AFFD" w14:textId="5B706F75" w:rsidR="003543ED" w:rsidRDefault="00A96711" w:rsidP="00D14628">
      <w:pPr>
        <w:pStyle w:val="Heading1"/>
      </w:pPr>
      <w:bookmarkStart w:id="141" w:name="_Toc15419262"/>
      <w:r>
        <w:t xml:space="preserve">Suspension and </w:t>
      </w:r>
      <w:r w:rsidR="003543ED">
        <w:t>Termination</w:t>
      </w:r>
      <w:bookmarkEnd w:id="140"/>
      <w:bookmarkEnd w:id="141"/>
      <w:r w:rsidR="003543ED">
        <w:t xml:space="preserve"> </w:t>
      </w:r>
    </w:p>
    <w:p w14:paraId="52F637FE" w14:textId="4F095044" w:rsidR="00A96711" w:rsidRDefault="00A96711" w:rsidP="00D14628">
      <w:pPr>
        <w:pStyle w:val="Heading2"/>
      </w:pPr>
      <w:bookmarkStart w:id="142" w:name="_Ref11677468"/>
      <w:bookmarkStart w:id="143" w:name="_Toc15419263"/>
      <w:r>
        <w:t>Suspension</w:t>
      </w:r>
    </w:p>
    <w:p w14:paraId="66C0E352" w14:textId="7F53367F" w:rsidR="00A96711" w:rsidRDefault="007066EF" w:rsidP="00A96711">
      <w:pPr>
        <w:pStyle w:val="Heading3"/>
      </w:pPr>
      <w:bookmarkStart w:id="144" w:name="_Hlk21375994"/>
      <w:r>
        <w:t xml:space="preserve">Without limiting any other rights that </w:t>
      </w:r>
      <w:proofErr w:type="spellStart"/>
      <w:r>
        <w:t>TfNSW</w:t>
      </w:r>
      <w:proofErr w:type="spellEnd"/>
      <w:r>
        <w:t xml:space="preserve"> may have under this Head Agreement (including any right of termination) </w:t>
      </w:r>
      <w:proofErr w:type="spellStart"/>
      <w:r w:rsidR="00A96711">
        <w:t>TfNSW</w:t>
      </w:r>
      <w:proofErr w:type="spellEnd"/>
      <w:r w:rsidR="00A96711">
        <w:t xml:space="preserve"> may suspend all or part of this Head Agreement or the Supplier’s participation in the Scheme by notice to the Supplier if:</w:t>
      </w:r>
    </w:p>
    <w:p w14:paraId="33590EA1" w14:textId="37A8D195" w:rsidR="00A96711" w:rsidRDefault="00A96711" w:rsidP="00A96711">
      <w:pPr>
        <w:pStyle w:val="Heading4"/>
      </w:pPr>
      <w:proofErr w:type="gramStart"/>
      <w:r>
        <w:t>the</w:t>
      </w:r>
      <w:proofErr w:type="gramEnd"/>
      <w:r>
        <w:t xml:space="preserve"> Supplier breaches this Head Agreement or a Customer Contract, whether or not remediable;</w:t>
      </w:r>
    </w:p>
    <w:p w14:paraId="3A2D7F38" w14:textId="5669B8B7" w:rsidR="00A96711" w:rsidRDefault="00A96711" w:rsidP="00A96711">
      <w:pPr>
        <w:pStyle w:val="Heading4"/>
      </w:pPr>
      <w:proofErr w:type="spellStart"/>
      <w:r>
        <w:t>TfNSW</w:t>
      </w:r>
      <w:proofErr w:type="spellEnd"/>
      <w:r>
        <w:t xml:space="preserve"> receives complaint(s) in respect of the Supplier’s performance; or</w:t>
      </w:r>
    </w:p>
    <w:p w14:paraId="7E7DE322" w14:textId="209645DC" w:rsidR="00A96711" w:rsidRDefault="00A96711" w:rsidP="00A96711">
      <w:pPr>
        <w:pStyle w:val="Heading4"/>
      </w:pPr>
      <w:proofErr w:type="gramStart"/>
      <w:r>
        <w:t>the</w:t>
      </w:r>
      <w:proofErr w:type="gramEnd"/>
      <w:r>
        <w:t xml:space="preserve"> Supplier receives one or more adverse Supplier Performance Reports.</w:t>
      </w:r>
    </w:p>
    <w:p w14:paraId="5255230E" w14:textId="31313DAB" w:rsidR="00A96711" w:rsidRDefault="00A96711" w:rsidP="00A96711">
      <w:pPr>
        <w:pStyle w:val="Heading3"/>
      </w:pPr>
      <w:r>
        <w:t xml:space="preserve">Subject to paragraph (c), if </w:t>
      </w:r>
      <w:proofErr w:type="spellStart"/>
      <w:r>
        <w:t>TfNSW</w:t>
      </w:r>
      <w:proofErr w:type="spellEnd"/>
      <w:r>
        <w:t xml:space="preserve"> wishes to exercise rights of suspension under paragraph (a) it must first provide a notice to the Supplier advising that it is considering suspending the Supplier and giving the Supplier 2 Business Days in which to show cause why it ought not be suspended. </w:t>
      </w:r>
    </w:p>
    <w:p w14:paraId="3EBCDADD" w14:textId="695D5D49" w:rsidR="00A96711" w:rsidRDefault="00A96711" w:rsidP="00A96711">
      <w:pPr>
        <w:pStyle w:val="Heading3"/>
      </w:pPr>
      <w:proofErr w:type="spellStart"/>
      <w:r>
        <w:t>TfNSW</w:t>
      </w:r>
      <w:proofErr w:type="spellEnd"/>
      <w:r>
        <w:t xml:space="preserve"> may exercise its rights under paragraph (a) immediately and without giving the Supplier the opportunity to show cause in any situation involving safety or security. </w:t>
      </w:r>
    </w:p>
    <w:p w14:paraId="084CE418" w14:textId="0932F71F" w:rsidR="007066EF" w:rsidRDefault="007066EF" w:rsidP="007066EF">
      <w:pPr>
        <w:pStyle w:val="Heading3"/>
        <w:rPr>
          <w:rStyle w:val="Hyperlink"/>
          <w:color w:val="auto"/>
        </w:rPr>
      </w:pPr>
      <w:proofErr w:type="spellStart"/>
      <w:r>
        <w:t>TfNSW</w:t>
      </w:r>
      <w:proofErr w:type="spellEnd"/>
      <w:r>
        <w:t xml:space="preserve"> will advise the Supplier of the reasons for any suspension under paragraph (a) and of any actions by the Supplier required to lift the suspension. The Supplier must inform </w:t>
      </w:r>
      <w:proofErr w:type="spellStart"/>
      <w:r>
        <w:t>TfNSW</w:t>
      </w:r>
      <w:proofErr w:type="spellEnd"/>
      <w:r>
        <w:t xml:space="preserve"> if and when the actions required to lift the suspension have been undertaken.  </w:t>
      </w:r>
    </w:p>
    <w:p w14:paraId="3DD0A4BE" w14:textId="18CF102F" w:rsidR="007066EF" w:rsidRPr="00A96711" w:rsidRDefault="007066EF" w:rsidP="00183984">
      <w:pPr>
        <w:pStyle w:val="Heading3"/>
      </w:pPr>
      <w:proofErr w:type="spellStart"/>
      <w:r>
        <w:t>TfNSW</w:t>
      </w:r>
      <w:proofErr w:type="spellEnd"/>
      <w:r>
        <w:t xml:space="preserve"> will regularly review the status </w:t>
      </w:r>
      <w:r w:rsidR="004202A4">
        <w:t xml:space="preserve">of </w:t>
      </w:r>
      <w:r>
        <w:t>the Supplier if it is suspended under paragraph (a)</w:t>
      </w:r>
      <w:r w:rsidRPr="00E2480D">
        <w:t>.</w:t>
      </w:r>
      <w:r>
        <w:t xml:space="preserve"> If the action taken by the Supplier is considered by </w:t>
      </w:r>
      <w:proofErr w:type="spellStart"/>
      <w:r>
        <w:t>TfNSW</w:t>
      </w:r>
      <w:proofErr w:type="spellEnd"/>
      <w:r>
        <w:t xml:space="preserve"> to be insufficient, the suspension period may continue and the Supplier will be notified accordingly. </w:t>
      </w:r>
      <w:proofErr w:type="spellStart"/>
      <w:r>
        <w:t>TfNSW</w:t>
      </w:r>
      <w:proofErr w:type="spellEnd"/>
      <w:r>
        <w:t xml:space="preserve"> may revoke the suspension if it is satisfied that the Supplier has taken appropriate action to address the reasons for the suspension.  </w:t>
      </w:r>
    </w:p>
    <w:p w14:paraId="34316FDA" w14:textId="0C452056" w:rsidR="00B577AE" w:rsidRPr="00B577AE" w:rsidRDefault="00B577AE" w:rsidP="00D14628">
      <w:pPr>
        <w:pStyle w:val="Heading2"/>
      </w:pPr>
      <w:bookmarkStart w:id="145" w:name="_Ref25684138"/>
      <w:bookmarkEnd w:id="144"/>
      <w:r w:rsidRPr="00B577AE">
        <w:t>Termination for cause</w:t>
      </w:r>
      <w:bookmarkEnd w:id="142"/>
      <w:bookmarkEnd w:id="143"/>
      <w:bookmarkEnd w:id="145"/>
    </w:p>
    <w:p w14:paraId="3FCAC5A2" w14:textId="7B51F4AF" w:rsidR="007066EF" w:rsidRDefault="007066EF" w:rsidP="00541060">
      <w:pPr>
        <w:pStyle w:val="Heading3"/>
      </w:pPr>
      <w:r>
        <w:t xml:space="preserve">Without limiting any other rights that </w:t>
      </w:r>
      <w:proofErr w:type="spellStart"/>
      <w:r>
        <w:t>TfNSW</w:t>
      </w:r>
      <w:proofErr w:type="spellEnd"/>
      <w:r>
        <w:t xml:space="preserve"> may have under this Head Agreement, </w:t>
      </w:r>
      <w:proofErr w:type="spellStart"/>
      <w:r w:rsidR="002E7CC0">
        <w:t>TfNSW</w:t>
      </w:r>
      <w:proofErr w:type="spellEnd"/>
      <w:r w:rsidR="00AB2E0E">
        <w:t xml:space="preserve"> may terminate all or part of </w:t>
      </w:r>
      <w:r w:rsidR="00F43CC9">
        <w:t>this</w:t>
      </w:r>
      <w:r w:rsidR="004C3AC9">
        <w:t xml:space="preserve"> Head Agreement</w:t>
      </w:r>
      <w:r w:rsidR="00541060">
        <w:t xml:space="preserve">, immediately by notice to the </w:t>
      </w:r>
      <w:r w:rsidR="00D82BC0">
        <w:t>Supplier</w:t>
      </w:r>
      <w:r>
        <w:t>:</w:t>
      </w:r>
    </w:p>
    <w:p w14:paraId="7F77BDF5" w14:textId="2F537B2D" w:rsidR="007066EF" w:rsidRDefault="007066EF" w:rsidP="007066EF">
      <w:pPr>
        <w:pStyle w:val="Heading4"/>
      </w:pPr>
      <w:proofErr w:type="gramStart"/>
      <w:r>
        <w:t>in</w:t>
      </w:r>
      <w:proofErr w:type="gramEnd"/>
      <w:r>
        <w:t xml:space="preserve"> the circumstances set out in section </w:t>
      </w:r>
      <w:r w:rsidR="00102F00">
        <w:t>6</w:t>
      </w:r>
      <w:r>
        <w:t xml:space="preserve"> of the </w:t>
      </w:r>
      <w:r w:rsidR="00082E91">
        <w:t>Scheme Terms and Condition</w:t>
      </w:r>
      <w:r w:rsidR="00B7447A">
        <w:t>s</w:t>
      </w:r>
      <w:r>
        <w:t xml:space="preserve">; </w:t>
      </w:r>
    </w:p>
    <w:p w14:paraId="2B40B123" w14:textId="5C713494" w:rsidR="00D82BC0" w:rsidRDefault="00541060" w:rsidP="00183984">
      <w:pPr>
        <w:pStyle w:val="Heading4"/>
      </w:pPr>
      <w:proofErr w:type="gramStart"/>
      <w:r>
        <w:t>if</w:t>
      </w:r>
      <w:proofErr w:type="gramEnd"/>
      <w:r w:rsidR="007066EF">
        <w:t xml:space="preserve"> </w:t>
      </w:r>
      <w:r w:rsidR="00D82BC0">
        <w:t xml:space="preserve">in </w:t>
      </w:r>
      <w:proofErr w:type="spellStart"/>
      <w:r w:rsidR="00D82BC0">
        <w:t>TfNSW’s</w:t>
      </w:r>
      <w:proofErr w:type="spellEnd"/>
      <w:r w:rsidR="00D82BC0">
        <w:t xml:space="preserve"> reasonable view, the Supplier breaches clause</w:t>
      </w:r>
      <w:r w:rsidR="00C021BD">
        <w:t xml:space="preserve"> </w:t>
      </w:r>
      <w:r w:rsidR="00C021BD">
        <w:fldChar w:fldCharType="begin"/>
      </w:r>
      <w:r w:rsidR="00C021BD">
        <w:instrText xml:space="preserve"> REF _Ref24115454 \w \h </w:instrText>
      </w:r>
      <w:r w:rsidR="00C021BD">
        <w:fldChar w:fldCharType="separate"/>
      </w:r>
      <w:r w:rsidR="00082E91">
        <w:t>11</w:t>
      </w:r>
      <w:r w:rsidR="00C021BD">
        <w:fldChar w:fldCharType="end"/>
      </w:r>
      <w:r w:rsidR="00D82BC0">
        <w:t xml:space="preserve">; </w:t>
      </w:r>
    </w:p>
    <w:p w14:paraId="0501FB00" w14:textId="30A929AB" w:rsidR="00AB2E0E" w:rsidRDefault="00F82EC2" w:rsidP="00183984">
      <w:pPr>
        <w:pStyle w:val="Heading4"/>
      </w:pPr>
      <w:proofErr w:type="gramStart"/>
      <w:r>
        <w:lastRenderedPageBreak/>
        <w:t>if</w:t>
      </w:r>
      <w:proofErr w:type="gramEnd"/>
      <w:r>
        <w:t xml:space="preserve"> </w:t>
      </w:r>
      <w:r w:rsidR="00AB2E0E">
        <w:t xml:space="preserve">the </w:t>
      </w:r>
      <w:r w:rsidR="00D82BC0">
        <w:t xml:space="preserve">Supplier </w:t>
      </w:r>
      <w:r w:rsidR="00541060">
        <w:t xml:space="preserve">materially </w:t>
      </w:r>
      <w:r w:rsidR="00AB2E0E" w:rsidRPr="004C3AC9">
        <w:t>breaches</w:t>
      </w:r>
      <w:r w:rsidR="00AB2E0E">
        <w:t xml:space="preserve"> a term of </w:t>
      </w:r>
      <w:r w:rsidR="00C91868">
        <w:t>th</w:t>
      </w:r>
      <w:r w:rsidR="00102F00">
        <w:t>is</w:t>
      </w:r>
      <w:r w:rsidR="00C91868">
        <w:t xml:space="preserve"> Head Agreement: </w:t>
      </w:r>
    </w:p>
    <w:p w14:paraId="3806E147" w14:textId="21B0C85B" w:rsidR="00AB2E0E" w:rsidRDefault="00AB2E0E" w:rsidP="007066EF">
      <w:pPr>
        <w:pStyle w:val="Heading5"/>
      </w:pPr>
      <w:proofErr w:type="gramStart"/>
      <w:r>
        <w:t>which</w:t>
      </w:r>
      <w:proofErr w:type="gramEnd"/>
      <w:r>
        <w:t xml:space="preserve"> is not capable of remedy; or </w:t>
      </w:r>
    </w:p>
    <w:p w14:paraId="7AFD360F" w14:textId="4691985D" w:rsidR="00AB2E0E" w:rsidRDefault="00AB2E0E" w:rsidP="007066EF">
      <w:pPr>
        <w:pStyle w:val="Heading5"/>
      </w:pPr>
      <w:proofErr w:type="gramStart"/>
      <w:r>
        <w:t>which</w:t>
      </w:r>
      <w:proofErr w:type="gramEnd"/>
      <w:r>
        <w:t xml:space="preserve"> is capable of remedy, but the </w:t>
      </w:r>
      <w:r w:rsidR="00D82BC0">
        <w:t xml:space="preserve">Supplier </w:t>
      </w:r>
      <w:r>
        <w:t xml:space="preserve">fails to remedy it within 30 days of </w:t>
      </w:r>
      <w:r w:rsidR="00A75C45">
        <w:t>receiving a notice to do so;</w:t>
      </w:r>
    </w:p>
    <w:p w14:paraId="5F0FD269" w14:textId="5A8EF569" w:rsidR="00541060" w:rsidRDefault="00F82EC2" w:rsidP="00541060">
      <w:pPr>
        <w:pStyle w:val="Heading4"/>
      </w:pPr>
      <w:bookmarkStart w:id="146" w:name="_Hlk11506184"/>
      <w:proofErr w:type="gramStart"/>
      <w:r>
        <w:t>if</w:t>
      </w:r>
      <w:proofErr w:type="gramEnd"/>
      <w:r>
        <w:t xml:space="preserve"> </w:t>
      </w:r>
      <w:r w:rsidR="00541060">
        <w:t xml:space="preserve">an Insolvency Event occurs in respect of the </w:t>
      </w:r>
      <w:r w:rsidR="00D82BC0">
        <w:t>Supplier</w:t>
      </w:r>
      <w:r w:rsidR="00541060">
        <w:t xml:space="preserve">; </w:t>
      </w:r>
      <w:r w:rsidR="007066EF">
        <w:t>or</w:t>
      </w:r>
    </w:p>
    <w:p w14:paraId="7D07F4CF" w14:textId="5A955C61" w:rsidR="00A75C45" w:rsidRPr="00A75C45" w:rsidRDefault="00F82EC2" w:rsidP="007066EF">
      <w:pPr>
        <w:pStyle w:val="Heading4"/>
      </w:pPr>
      <w:bookmarkStart w:id="147" w:name="_Ref24117407"/>
      <w:bookmarkEnd w:id="146"/>
      <w:proofErr w:type="gramStart"/>
      <w:r>
        <w:t>if</w:t>
      </w:r>
      <w:proofErr w:type="gramEnd"/>
      <w:r>
        <w:t xml:space="preserve"> </w:t>
      </w:r>
      <w:r w:rsidR="00A75C45" w:rsidRPr="00A75C45">
        <w:t xml:space="preserve">the </w:t>
      </w:r>
      <w:r w:rsidR="00D82BC0">
        <w:t xml:space="preserve">Supplier </w:t>
      </w:r>
      <w:r w:rsidR="00A75C45" w:rsidRPr="00A75C45">
        <w:t xml:space="preserve">or any parent company </w:t>
      </w:r>
      <w:r w:rsidR="00541060">
        <w:t xml:space="preserve">of the </w:t>
      </w:r>
      <w:r w:rsidR="00D82BC0">
        <w:t xml:space="preserve">Supplier </w:t>
      </w:r>
      <w:r w:rsidR="00A75C45" w:rsidRPr="00A75C45">
        <w:t xml:space="preserve">undergoes a Change in Control, without </w:t>
      </w:r>
      <w:proofErr w:type="spellStart"/>
      <w:r w:rsidR="002E7CC0">
        <w:t>TfNSW</w:t>
      </w:r>
      <w:r w:rsidR="003467D1">
        <w:t>’</w:t>
      </w:r>
      <w:r w:rsidR="00A75C45">
        <w:t>s</w:t>
      </w:r>
      <w:proofErr w:type="spellEnd"/>
      <w:r w:rsidR="00A75C45">
        <w:t xml:space="preserve"> </w:t>
      </w:r>
      <w:r w:rsidR="00541060">
        <w:t>prior written consent.</w:t>
      </w:r>
      <w:bookmarkEnd w:id="147"/>
      <w:r w:rsidR="00541060">
        <w:t xml:space="preserve"> </w:t>
      </w:r>
    </w:p>
    <w:p w14:paraId="65758760" w14:textId="6C844AD8" w:rsidR="007066EF" w:rsidRDefault="007066EF" w:rsidP="007066EF">
      <w:pPr>
        <w:pStyle w:val="Heading3"/>
      </w:pPr>
      <w:bookmarkStart w:id="148" w:name="_Toc15419264"/>
      <w:r>
        <w:t xml:space="preserve">Subject to paragraph (c), if </w:t>
      </w:r>
      <w:proofErr w:type="spellStart"/>
      <w:r>
        <w:t>TfNSW</w:t>
      </w:r>
      <w:proofErr w:type="spellEnd"/>
      <w:r>
        <w:t xml:space="preserve"> wishes to exercise rights of termination under paragraph (a)(</w:t>
      </w:r>
      <w:proofErr w:type="spellStart"/>
      <w:r>
        <w:t>i</w:t>
      </w:r>
      <w:proofErr w:type="spellEnd"/>
      <w:r>
        <w:t xml:space="preserve">) it must first provide a notice to the Supplier advising that it is considering </w:t>
      </w:r>
      <w:r w:rsidR="00C021BD">
        <w:t xml:space="preserve">terminating </w:t>
      </w:r>
      <w:r>
        <w:t xml:space="preserve">the Supplier and giving the Supplier 30 days in which to show cause why it ought not be </w:t>
      </w:r>
      <w:r w:rsidR="00C021BD">
        <w:t>terminated</w:t>
      </w:r>
      <w:r>
        <w:t xml:space="preserve">. </w:t>
      </w:r>
    </w:p>
    <w:p w14:paraId="68D766E2" w14:textId="1FF4F36A" w:rsidR="007066EF" w:rsidRDefault="007066EF" w:rsidP="007066EF">
      <w:pPr>
        <w:pStyle w:val="Heading3"/>
      </w:pPr>
      <w:proofErr w:type="spellStart"/>
      <w:r>
        <w:t>TfNSW</w:t>
      </w:r>
      <w:proofErr w:type="spellEnd"/>
      <w:r>
        <w:t xml:space="preserve"> may exercise its rights under paragraph (a</w:t>
      </w:r>
      <w:proofErr w:type="gramStart"/>
      <w:r>
        <w:t>)(</w:t>
      </w:r>
      <w:proofErr w:type="spellStart"/>
      <w:proofErr w:type="gramEnd"/>
      <w:r>
        <w:t>i</w:t>
      </w:r>
      <w:proofErr w:type="spellEnd"/>
      <w:r>
        <w:t xml:space="preserve">) immediately and without giving the Supplier the opportunity to show cause in any situation involving safety or security. </w:t>
      </w:r>
    </w:p>
    <w:p w14:paraId="3547B444" w14:textId="77777777" w:rsidR="00B577AE" w:rsidRPr="00B577AE" w:rsidRDefault="00B577AE" w:rsidP="00D14628">
      <w:pPr>
        <w:pStyle w:val="Heading2"/>
      </w:pPr>
      <w:r w:rsidRPr="00B577AE">
        <w:t xml:space="preserve">Termination </w:t>
      </w:r>
      <w:r>
        <w:t>without cause</w:t>
      </w:r>
      <w:bookmarkEnd w:id="148"/>
    </w:p>
    <w:p w14:paraId="1ADB7357" w14:textId="035A48A3" w:rsidR="00F72417" w:rsidRPr="009B3FEF" w:rsidRDefault="002E7CC0" w:rsidP="00965C2F">
      <w:pPr>
        <w:pStyle w:val="Heading3"/>
        <w:numPr>
          <w:ilvl w:val="0"/>
          <w:numId w:val="0"/>
        </w:numPr>
        <w:ind w:left="1276"/>
        <w:rPr>
          <w:rFonts w:cs="Arial"/>
          <w:b/>
          <w:color w:val="000000" w:themeColor="text1"/>
          <w:szCs w:val="22"/>
        </w:rPr>
      </w:pPr>
      <w:proofErr w:type="spellStart"/>
      <w:r>
        <w:rPr>
          <w:rFonts w:cs="Arial"/>
          <w:color w:val="000000" w:themeColor="text1"/>
          <w:szCs w:val="22"/>
        </w:rPr>
        <w:t>TfNSW</w:t>
      </w:r>
      <w:proofErr w:type="spellEnd"/>
      <w:r w:rsidR="00F72417">
        <w:rPr>
          <w:rFonts w:cs="Arial"/>
          <w:color w:val="000000" w:themeColor="text1"/>
          <w:szCs w:val="22"/>
        </w:rPr>
        <w:t xml:space="preserve"> may terminate this Head Agreement for convenience</w:t>
      </w:r>
      <w:r w:rsidR="002A5AF5">
        <w:rPr>
          <w:rFonts w:cs="Arial"/>
          <w:color w:val="000000" w:themeColor="text1"/>
          <w:szCs w:val="22"/>
        </w:rPr>
        <w:t xml:space="preserve">, without penalty, </w:t>
      </w:r>
      <w:r w:rsidR="00F72417">
        <w:rPr>
          <w:rFonts w:cs="Arial"/>
          <w:color w:val="000000" w:themeColor="text1"/>
          <w:szCs w:val="22"/>
        </w:rPr>
        <w:t xml:space="preserve">by giving the </w:t>
      </w:r>
      <w:r w:rsidR="00D82BC0">
        <w:rPr>
          <w:rFonts w:cs="Arial"/>
          <w:color w:val="000000" w:themeColor="text1"/>
          <w:szCs w:val="22"/>
        </w:rPr>
        <w:t>Supplier</w:t>
      </w:r>
      <w:r w:rsidR="00F72417">
        <w:rPr>
          <w:rFonts w:cs="Arial"/>
          <w:color w:val="000000" w:themeColor="text1"/>
          <w:szCs w:val="22"/>
        </w:rPr>
        <w:t xml:space="preserve"> at least</w:t>
      </w:r>
      <w:r w:rsidR="002603D8">
        <w:rPr>
          <w:rFonts w:cs="Arial"/>
          <w:color w:val="000000" w:themeColor="text1"/>
          <w:szCs w:val="22"/>
        </w:rPr>
        <w:t xml:space="preserve"> 30 days’</w:t>
      </w:r>
      <w:r w:rsidR="00F72417">
        <w:rPr>
          <w:rFonts w:cs="Arial"/>
          <w:color w:val="000000" w:themeColor="text1"/>
          <w:szCs w:val="22"/>
        </w:rPr>
        <w:t xml:space="preserve"> notice. </w:t>
      </w:r>
    </w:p>
    <w:p w14:paraId="6FE493E3" w14:textId="77777777" w:rsidR="00117726" w:rsidRDefault="00E03A7C" w:rsidP="00683D39">
      <w:pPr>
        <w:pStyle w:val="Heading2"/>
      </w:pPr>
      <w:bookmarkStart w:id="149" w:name="_Ref11495729"/>
      <w:bookmarkStart w:id="150" w:name="_Toc15419265"/>
      <w:r>
        <w:t>Consequences of termination</w:t>
      </w:r>
      <w:bookmarkEnd w:id="149"/>
      <w:bookmarkEnd w:id="150"/>
      <w:r>
        <w:t xml:space="preserve"> </w:t>
      </w:r>
    </w:p>
    <w:p w14:paraId="2F0A7004" w14:textId="39A13CDA" w:rsidR="00E03A7C" w:rsidRDefault="003701B4" w:rsidP="00D14628">
      <w:pPr>
        <w:pStyle w:val="Heading3"/>
      </w:pPr>
      <w:r w:rsidRPr="003701B4">
        <w:t>On termination of th</w:t>
      </w:r>
      <w:r w:rsidR="00962011">
        <w:t>is</w:t>
      </w:r>
      <w:r w:rsidRPr="003701B4">
        <w:t xml:space="preserve"> Head Agreement </w:t>
      </w:r>
      <w:r>
        <w:t>in whole or part</w:t>
      </w:r>
      <w:r w:rsidR="00E37688">
        <w:t>,</w:t>
      </w:r>
      <w:r>
        <w:t xml:space="preserve"> </w:t>
      </w:r>
      <w:r w:rsidRPr="003701B4">
        <w:t xml:space="preserve">the </w:t>
      </w:r>
      <w:r w:rsidR="00D82BC0">
        <w:t>Supplier</w:t>
      </w:r>
      <w:r>
        <w:t xml:space="preserve"> </w:t>
      </w:r>
      <w:r w:rsidRPr="003701B4">
        <w:t>must:</w:t>
      </w:r>
    </w:p>
    <w:p w14:paraId="3E78095E" w14:textId="71A67ADA" w:rsidR="003D36F2" w:rsidRDefault="003D36F2" w:rsidP="00965C2F">
      <w:pPr>
        <w:pStyle w:val="Heading4"/>
        <w:tabs>
          <w:tab w:val="clear" w:pos="2268"/>
          <w:tab w:val="num" w:pos="2410"/>
        </w:tabs>
        <w:ind w:left="2410"/>
      </w:pPr>
      <w:proofErr w:type="gramStart"/>
      <w:r>
        <w:t>comply</w:t>
      </w:r>
      <w:proofErr w:type="gramEnd"/>
      <w:r>
        <w:t xml:space="preserve"> with any reasonable directions from </w:t>
      </w:r>
      <w:proofErr w:type="spellStart"/>
      <w:r w:rsidR="002E7CC0">
        <w:t>TfNSW</w:t>
      </w:r>
      <w:proofErr w:type="spellEnd"/>
      <w:r>
        <w:t>;</w:t>
      </w:r>
      <w:r w:rsidR="00683D39">
        <w:t xml:space="preserve"> and</w:t>
      </w:r>
    </w:p>
    <w:p w14:paraId="1E0C32AB" w14:textId="568C4563" w:rsidR="00042534" w:rsidRDefault="00042534" w:rsidP="00683D39">
      <w:pPr>
        <w:pStyle w:val="Heading4"/>
        <w:tabs>
          <w:tab w:val="clear" w:pos="2268"/>
          <w:tab w:val="num" w:pos="2410"/>
        </w:tabs>
        <w:ind w:left="2410"/>
      </w:pPr>
      <w:proofErr w:type="gramStart"/>
      <w:r>
        <w:t>return</w:t>
      </w:r>
      <w:proofErr w:type="gramEnd"/>
      <w:r>
        <w:t xml:space="preserve"> to </w:t>
      </w:r>
      <w:proofErr w:type="spellStart"/>
      <w:r w:rsidR="002E7CC0">
        <w:t>TfNSW</w:t>
      </w:r>
      <w:proofErr w:type="spellEnd"/>
      <w:r>
        <w:t xml:space="preserve"> all of </w:t>
      </w:r>
      <w:proofErr w:type="spellStart"/>
      <w:r w:rsidR="002E7CC0">
        <w:t>TfNSW</w:t>
      </w:r>
      <w:r w:rsidR="003467D1">
        <w:t>’</w:t>
      </w:r>
      <w:r>
        <w:t>s</w:t>
      </w:r>
      <w:proofErr w:type="spellEnd"/>
      <w:r>
        <w:t xml:space="preserve"> Confidential Information or the Confidential Information relating to the terminated parts of the Head Agreement</w:t>
      </w:r>
      <w:r w:rsidR="00683D39">
        <w:t>.</w:t>
      </w:r>
    </w:p>
    <w:p w14:paraId="0921BF70" w14:textId="296C2805" w:rsidR="007066EF" w:rsidRDefault="007066EF" w:rsidP="00D14628">
      <w:pPr>
        <w:pStyle w:val="Heading3"/>
      </w:pPr>
      <w:bookmarkStart w:id="151" w:name="_Ref11443465"/>
      <w:r>
        <w:t xml:space="preserve">If this Head Agreement terminates or expires, then the Supplier’s prequalification under the Scheme is automatically revoked without the need for any further action. </w:t>
      </w:r>
    </w:p>
    <w:p w14:paraId="55008397" w14:textId="0E23FB00" w:rsidR="00E03A7C" w:rsidRPr="00E03A7C" w:rsidRDefault="00683D39" w:rsidP="00D14628">
      <w:pPr>
        <w:pStyle w:val="Heading3"/>
      </w:pPr>
      <w:bookmarkStart w:id="152" w:name="_Ref25683997"/>
      <w:r>
        <w:t>T</w:t>
      </w:r>
      <w:r w:rsidR="00E03A7C">
        <w:t xml:space="preserve">ermination of the Head Agreement </w:t>
      </w:r>
      <w:r>
        <w:t>in whole or part</w:t>
      </w:r>
      <w:r w:rsidR="00CD23D1">
        <w:t xml:space="preserve"> </w:t>
      </w:r>
      <w:r w:rsidR="00E03A7C">
        <w:t xml:space="preserve">does not automatically terminate </w:t>
      </w:r>
      <w:r>
        <w:t xml:space="preserve">any </w:t>
      </w:r>
      <w:r w:rsidR="002A5AF5">
        <w:t xml:space="preserve">Customer Contracts </w:t>
      </w:r>
      <w:r w:rsidR="00102F00">
        <w:t xml:space="preserve">or Orders </w:t>
      </w:r>
      <w:r w:rsidR="00E03A7C">
        <w:t>current at that time</w:t>
      </w:r>
      <w:r w:rsidR="003D36F2">
        <w:t xml:space="preserve"> (</w:t>
      </w:r>
      <w:r w:rsidR="003D36F2" w:rsidRPr="003D36F2">
        <w:rPr>
          <w:b/>
        </w:rPr>
        <w:t xml:space="preserve">Existing </w:t>
      </w:r>
      <w:r w:rsidR="002A5AF5">
        <w:rPr>
          <w:b/>
        </w:rPr>
        <w:t xml:space="preserve">Customer </w:t>
      </w:r>
      <w:r w:rsidR="003D36F2" w:rsidRPr="003D36F2">
        <w:rPr>
          <w:b/>
        </w:rPr>
        <w:t>Contracts</w:t>
      </w:r>
      <w:r w:rsidR="003D36F2">
        <w:t xml:space="preserve">). </w:t>
      </w:r>
      <w:r w:rsidR="00E03A7C">
        <w:t xml:space="preserve"> </w:t>
      </w:r>
      <w:r w:rsidR="003D36F2">
        <w:t xml:space="preserve">An Existing </w:t>
      </w:r>
      <w:r w:rsidR="002A5AF5">
        <w:t xml:space="preserve">Customer </w:t>
      </w:r>
      <w:r w:rsidR="003D36F2">
        <w:t xml:space="preserve">Contract </w:t>
      </w:r>
      <w:r w:rsidR="00E03A7C">
        <w:t xml:space="preserve">will continue for the duration of </w:t>
      </w:r>
      <w:r w:rsidR="003D36F2">
        <w:t xml:space="preserve">its </w:t>
      </w:r>
      <w:r w:rsidR="00E03A7C">
        <w:t xml:space="preserve">term </w:t>
      </w:r>
      <w:r w:rsidR="003D36F2">
        <w:t xml:space="preserve">(which may extend beyond the Term of the Head Agreement) </w:t>
      </w:r>
      <w:r w:rsidR="00165478">
        <w:t xml:space="preserve">until </w:t>
      </w:r>
      <w:r w:rsidR="003D36F2">
        <w:t xml:space="preserve">it </w:t>
      </w:r>
      <w:r w:rsidR="00165478">
        <w:t>expire</w:t>
      </w:r>
      <w:r w:rsidR="003D36F2">
        <w:t>s</w:t>
      </w:r>
      <w:r w:rsidR="00165478">
        <w:t xml:space="preserve"> or </w:t>
      </w:r>
      <w:r w:rsidR="003D36F2">
        <w:t xml:space="preserve">is </w:t>
      </w:r>
      <w:r>
        <w:t>terminated earlier</w:t>
      </w:r>
      <w:r w:rsidR="00165478">
        <w:t xml:space="preserve"> in accordance with </w:t>
      </w:r>
      <w:r w:rsidR="003D36F2">
        <w:t xml:space="preserve">its </w:t>
      </w:r>
      <w:r w:rsidR="00165478">
        <w:t xml:space="preserve">terms. </w:t>
      </w:r>
      <w:r w:rsidR="00E03A7C">
        <w:t xml:space="preserve">However, no new </w:t>
      </w:r>
      <w:r>
        <w:t>Customer Contracts or Orders</w:t>
      </w:r>
      <w:r w:rsidR="00E03A7C">
        <w:t xml:space="preserve"> may be formed after termination of the Head Agreement.</w:t>
      </w:r>
      <w:bookmarkEnd w:id="151"/>
      <w:bookmarkEnd w:id="152"/>
    </w:p>
    <w:p w14:paraId="0FC51DE9" w14:textId="77777777" w:rsidR="005143E3" w:rsidRDefault="005143E3" w:rsidP="00683D39">
      <w:pPr>
        <w:pStyle w:val="Heading1"/>
      </w:pPr>
      <w:bookmarkStart w:id="153" w:name="_Ref10666506"/>
      <w:bookmarkStart w:id="154" w:name="_Toc15419266"/>
      <w:r>
        <w:t>Dispute resolution</w:t>
      </w:r>
      <w:bookmarkEnd w:id="153"/>
      <w:bookmarkEnd w:id="154"/>
    </w:p>
    <w:p w14:paraId="18193642" w14:textId="77777777" w:rsidR="0011634A" w:rsidRDefault="0011634A" w:rsidP="00683D39">
      <w:pPr>
        <w:pStyle w:val="Heading2"/>
      </w:pPr>
      <w:bookmarkStart w:id="155" w:name="_Toc9955616"/>
      <w:bookmarkStart w:id="156" w:name="_Toc15419267"/>
      <w:bookmarkStart w:id="157" w:name="_Ref21436454"/>
      <w:r>
        <w:t>General</w:t>
      </w:r>
      <w:bookmarkEnd w:id="155"/>
      <w:bookmarkEnd w:id="156"/>
      <w:bookmarkEnd w:id="157"/>
    </w:p>
    <w:p w14:paraId="1A4347D0" w14:textId="1EC00463" w:rsidR="0011634A" w:rsidRDefault="0011634A" w:rsidP="00683D39">
      <w:pPr>
        <w:pStyle w:val="BodyText"/>
        <w:rPr>
          <w:b/>
        </w:rPr>
      </w:pPr>
      <w:r w:rsidRPr="00911FC4">
        <w:t xml:space="preserve">Either party may give notice of a dispute to the other, setting out particulars of the dispute </w:t>
      </w:r>
      <w:r w:rsidR="0038098A" w:rsidRPr="0038098A">
        <w:t xml:space="preserve">and indicating whether </w:t>
      </w:r>
      <w:proofErr w:type="spellStart"/>
      <w:r w:rsidR="002E7CC0">
        <w:t>TfNSW</w:t>
      </w:r>
      <w:proofErr w:type="spellEnd"/>
      <w:r w:rsidR="0038098A" w:rsidRPr="0038098A">
        <w:t xml:space="preserve"> is to be involved in the dispute resolution process </w:t>
      </w:r>
      <w:r w:rsidRPr="00911FC4">
        <w:t>(</w:t>
      </w:r>
      <w:r w:rsidRPr="00911FC4">
        <w:rPr>
          <w:b/>
        </w:rPr>
        <w:t>Dispute Notice</w:t>
      </w:r>
      <w:r w:rsidRPr="00911FC4">
        <w:t xml:space="preserve">). </w:t>
      </w:r>
      <w:r w:rsidR="00D31A46">
        <w:t xml:space="preserve">Nothing in this clause </w:t>
      </w:r>
      <w:r w:rsidR="00D31A46">
        <w:fldChar w:fldCharType="begin"/>
      </w:r>
      <w:r w:rsidR="00D31A46">
        <w:instrText xml:space="preserve"> REF _Ref10666506 \r \h </w:instrText>
      </w:r>
      <w:r w:rsidR="00D31A46">
        <w:fldChar w:fldCharType="separate"/>
      </w:r>
      <w:r w:rsidR="00082E91">
        <w:t>14</w:t>
      </w:r>
      <w:r w:rsidR="00D31A46">
        <w:fldChar w:fldCharType="end"/>
      </w:r>
      <w:r w:rsidR="00D31A46">
        <w:t xml:space="preserve"> limits the ability of either party to commence legal action against the other party. </w:t>
      </w:r>
      <w:r w:rsidR="00D31A46">
        <w:rPr>
          <w:b/>
        </w:rPr>
        <w:t xml:space="preserve"> </w:t>
      </w:r>
    </w:p>
    <w:p w14:paraId="2226B521" w14:textId="77777777" w:rsidR="0011634A" w:rsidRDefault="0011634A" w:rsidP="00683D39">
      <w:pPr>
        <w:pStyle w:val="Heading2"/>
      </w:pPr>
      <w:bookmarkStart w:id="158" w:name="_Toc9955617"/>
      <w:bookmarkStart w:id="159" w:name="_Toc15419268"/>
      <w:r>
        <w:t>Escalation</w:t>
      </w:r>
      <w:bookmarkEnd w:id="158"/>
      <w:bookmarkEnd w:id="159"/>
    </w:p>
    <w:p w14:paraId="41FF802A" w14:textId="77777777" w:rsidR="0038098A" w:rsidRPr="000A6974" w:rsidRDefault="0038098A" w:rsidP="00683D39">
      <w:pPr>
        <w:pStyle w:val="Heading3"/>
      </w:pPr>
      <w:bookmarkStart w:id="160" w:name="_Ref10375282"/>
      <w:bookmarkStart w:id="161" w:name="_Toc9955618"/>
      <w:r w:rsidRPr="00A75C50">
        <w:rPr>
          <w:rFonts w:eastAsia="Century Gothic"/>
        </w:rPr>
        <w:t xml:space="preserve">Within 10 </w:t>
      </w:r>
      <w:r>
        <w:rPr>
          <w:rFonts w:eastAsia="Century Gothic"/>
        </w:rPr>
        <w:t>B</w:t>
      </w:r>
      <w:r w:rsidRPr="00A75C50">
        <w:rPr>
          <w:rFonts w:eastAsia="Century Gothic"/>
        </w:rPr>
        <w:t xml:space="preserve">usiness </w:t>
      </w:r>
      <w:r>
        <w:rPr>
          <w:rFonts w:eastAsia="Century Gothic"/>
        </w:rPr>
        <w:t>D</w:t>
      </w:r>
      <w:r w:rsidRPr="00A75C50">
        <w:rPr>
          <w:rFonts w:eastAsia="Century Gothic"/>
        </w:rPr>
        <w:t xml:space="preserve">ays of a party receiving a Dispute Notice, the parties must meet </w:t>
      </w:r>
      <w:r w:rsidR="00962011">
        <w:rPr>
          <w:rFonts w:eastAsia="Century Gothic"/>
        </w:rPr>
        <w:t>and</w:t>
      </w:r>
      <w:r w:rsidR="00962011" w:rsidRPr="00A75C50">
        <w:rPr>
          <w:rFonts w:eastAsia="Century Gothic"/>
        </w:rPr>
        <w:t xml:space="preserve"> </w:t>
      </w:r>
      <w:r w:rsidRPr="00A75C50">
        <w:rPr>
          <w:rFonts w:eastAsia="Century Gothic"/>
        </w:rPr>
        <w:t xml:space="preserve">try </w:t>
      </w:r>
      <w:r w:rsidR="00962011">
        <w:rPr>
          <w:rFonts w:eastAsia="Century Gothic"/>
        </w:rPr>
        <w:t>to</w:t>
      </w:r>
      <w:r w:rsidR="00962011" w:rsidRPr="00A75C50">
        <w:rPr>
          <w:rFonts w:eastAsia="Century Gothic"/>
        </w:rPr>
        <w:t xml:space="preserve"> </w:t>
      </w:r>
      <w:r w:rsidRPr="00A75C50">
        <w:rPr>
          <w:rFonts w:eastAsia="Century Gothic"/>
        </w:rPr>
        <w:t>resolve the dispute in good faith.</w:t>
      </w:r>
      <w:bookmarkEnd w:id="160"/>
      <w:r w:rsidRPr="00A75C50">
        <w:rPr>
          <w:rFonts w:eastAsia="Century Gothic"/>
        </w:rPr>
        <w:t xml:space="preserve">  </w:t>
      </w:r>
    </w:p>
    <w:p w14:paraId="01E4A88C" w14:textId="711CC7D6" w:rsidR="0038098A" w:rsidRDefault="0038098A" w:rsidP="00683D39">
      <w:pPr>
        <w:pStyle w:val="Heading3"/>
      </w:pPr>
      <w:r w:rsidRPr="00A75C50">
        <w:rPr>
          <w:rFonts w:eastAsia="Century Gothic"/>
        </w:rPr>
        <w:lastRenderedPageBreak/>
        <w:t xml:space="preserve">If the parties are unable to resolve the dispute within that period, </w:t>
      </w:r>
      <w:r>
        <w:rPr>
          <w:rFonts w:eastAsia="Century Gothic"/>
        </w:rPr>
        <w:t>a</w:t>
      </w:r>
      <w:r w:rsidRPr="00A75C50">
        <w:rPr>
          <w:rFonts w:eastAsia="Century Gothic"/>
        </w:rPr>
        <w:t xml:space="preserve"> senior executive of each party must meet and try to resolve the dispute in good faith within 10 </w:t>
      </w:r>
      <w:r>
        <w:rPr>
          <w:rFonts w:eastAsia="Century Gothic"/>
        </w:rPr>
        <w:t>B</w:t>
      </w:r>
      <w:r w:rsidRPr="00A75C50">
        <w:rPr>
          <w:rFonts w:eastAsia="Century Gothic"/>
        </w:rPr>
        <w:t xml:space="preserve">usiness </w:t>
      </w:r>
      <w:r>
        <w:rPr>
          <w:rFonts w:eastAsia="Century Gothic"/>
        </w:rPr>
        <w:t>D</w:t>
      </w:r>
      <w:r w:rsidRPr="00A75C50">
        <w:rPr>
          <w:rFonts w:eastAsia="Century Gothic"/>
        </w:rPr>
        <w:t>ays or such other agreed period</w:t>
      </w:r>
      <w:r>
        <w:rPr>
          <w:rFonts w:eastAsia="Century Gothic"/>
        </w:rPr>
        <w:t xml:space="preserve"> of the meeting referred to in paragraph </w:t>
      </w:r>
      <w:r>
        <w:rPr>
          <w:rFonts w:eastAsia="Century Gothic"/>
        </w:rPr>
        <w:fldChar w:fldCharType="begin"/>
      </w:r>
      <w:r>
        <w:rPr>
          <w:rFonts w:eastAsia="Century Gothic"/>
        </w:rPr>
        <w:instrText xml:space="preserve"> REF _Ref10375282 \n \h </w:instrText>
      </w:r>
      <w:r>
        <w:rPr>
          <w:rFonts w:eastAsia="Century Gothic"/>
        </w:rPr>
      </w:r>
      <w:r>
        <w:rPr>
          <w:rFonts w:eastAsia="Century Gothic"/>
        </w:rPr>
        <w:fldChar w:fldCharType="separate"/>
      </w:r>
      <w:r w:rsidR="00082E91">
        <w:rPr>
          <w:rFonts w:eastAsia="Century Gothic"/>
        </w:rPr>
        <w:t>(a)</w:t>
      </w:r>
      <w:r>
        <w:rPr>
          <w:rFonts w:eastAsia="Century Gothic"/>
        </w:rPr>
        <w:fldChar w:fldCharType="end"/>
      </w:r>
      <w:r w:rsidRPr="00A75C50">
        <w:rPr>
          <w:rFonts w:eastAsia="Century Gothic"/>
        </w:rPr>
        <w:t>.</w:t>
      </w:r>
    </w:p>
    <w:p w14:paraId="3C22BBCE" w14:textId="77777777" w:rsidR="0011634A" w:rsidRDefault="0011634A" w:rsidP="00683D39">
      <w:pPr>
        <w:pStyle w:val="Heading2"/>
      </w:pPr>
      <w:bookmarkStart w:id="162" w:name="_Toc15419269"/>
      <w:r>
        <w:t>Alternative dispute resolution</w:t>
      </w:r>
      <w:bookmarkEnd w:id="161"/>
      <w:bookmarkEnd w:id="162"/>
    </w:p>
    <w:p w14:paraId="1B8BA97A" w14:textId="77777777" w:rsidR="0011634A" w:rsidRDefault="0011634A" w:rsidP="00683D39">
      <w:pPr>
        <w:pStyle w:val="BodyText"/>
      </w:pPr>
      <w:r w:rsidRPr="00A75C50">
        <w:rPr>
          <w:rFonts w:eastAsia="Century Gothic"/>
        </w:rPr>
        <w:t>If the dispute remains unresolved, the parties must try to resolve it by mediation administered by the Australian Disputes Centre in accordance with its Commercial Mediation Guidelines.</w:t>
      </w:r>
    </w:p>
    <w:p w14:paraId="57F17D6B" w14:textId="77777777" w:rsidR="0011634A" w:rsidRDefault="0011634A" w:rsidP="00683D39">
      <w:pPr>
        <w:pStyle w:val="Heading2"/>
      </w:pPr>
      <w:bookmarkStart w:id="163" w:name="_Toc9955619"/>
      <w:bookmarkStart w:id="164" w:name="_Toc15419270"/>
      <w:r>
        <w:t>Continue to perform</w:t>
      </w:r>
      <w:bookmarkEnd w:id="163"/>
      <w:bookmarkEnd w:id="164"/>
    </w:p>
    <w:p w14:paraId="66655260" w14:textId="77777777" w:rsidR="0011634A" w:rsidRDefault="0038098A" w:rsidP="00683D39">
      <w:pPr>
        <w:pStyle w:val="BodyText"/>
      </w:pPr>
      <w:bookmarkStart w:id="165" w:name="_Toc9955620"/>
      <w:r w:rsidRPr="0038098A">
        <w:t xml:space="preserve">Notwithstanding the existence of a dispute, the parties must continue to perform their obligations under this </w:t>
      </w:r>
      <w:r>
        <w:t>Head Agreement</w:t>
      </w:r>
      <w:r w:rsidRPr="0038098A">
        <w:t>.</w:t>
      </w:r>
      <w:bookmarkEnd w:id="165"/>
    </w:p>
    <w:p w14:paraId="58162B47" w14:textId="77777777" w:rsidR="005143E3" w:rsidRDefault="005143E3" w:rsidP="00965C2F">
      <w:pPr>
        <w:pStyle w:val="Heading1"/>
        <w:tabs>
          <w:tab w:val="clear" w:pos="567"/>
          <w:tab w:val="num" w:pos="709"/>
        </w:tabs>
        <w:ind w:left="709"/>
      </w:pPr>
      <w:bookmarkStart w:id="166" w:name="_Ref11487990"/>
      <w:bookmarkStart w:id="167" w:name="_Ref11495749"/>
      <w:bookmarkStart w:id="168" w:name="_Toc15419271"/>
      <w:r>
        <w:t>General</w:t>
      </w:r>
      <w:bookmarkEnd w:id="166"/>
      <w:bookmarkEnd w:id="167"/>
      <w:bookmarkEnd w:id="168"/>
    </w:p>
    <w:p w14:paraId="0DE54299" w14:textId="00CD2122" w:rsidR="00F82EC2" w:rsidRDefault="00F82EC2" w:rsidP="009741FD">
      <w:pPr>
        <w:pStyle w:val="Heading2"/>
      </w:pPr>
      <w:bookmarkStart w:id="169" w:name="_Toc15419272"/>
      <w:bookmarkStart w:id="170" w:name="_Hlk10451298"/>
      <w:r>
        <w:t xml:space="preserve">No use of </w:t>
      </w:r>
      <w:proofErr w:type="spellStart"/>
      <w:r>
        <w:t>TfNSW’s</w:t>
      </w:r>
      <w:proofErr w:type="spellEnd"/>
      <w:r>
        <w:t xml:space="preserve"> name, logo </w:t>
      </w:r>
      <w:proofErr w:type="spellStart"/>
      <w:r>
        <w:t>etc</w:t>
      </w:r>
      <w:proofErr w:type="spellEnd"/>
    </w:p>
    <w:p w14:paraId="587CD33E" w14:textId="407F4A85" w:rsidR="00F82EC2" w:rsidRPr="00F82EC2" w:rsidRDefault="00F82EC2" w:rsidP="00F82EC2">
      <w:pPr>
        <w:pStyle w:val="BodyText"/>
      </w:pPr>
      <w:r>
        <w:t xml:space="preserve">The Supplier must not use any of </w:t>
      </w:r>
      <w:proofErr w:type="spellStart"/>
      <w:r>
        <w:t>TfNSW’s</w:t>
      </w:r>
      <w:proofErr w:type="spellEnd"/>
      <w:r>
        <w:t xml:space="preserve"> logos, trademarks or branding without the prior written consent of </w:t>
      </w:r>
      <w:proofErr w:type="spellStart"/>
      <w:r>
        <w:t>TfNSW</w:t>
      </w:r>
      <w:proofErr w:type="spellEnd"/>
      <w:r>
        <w:t xml:space="preserve">. </w:t>
      </w:r>
    </w:p>
    <w:p w14:paraId="65872D0A" w14:textId="01FACF09" w:rsidR="009741FD" w:rsidRDefault="009741FD" w:rsidP="009741FD">
      <w:pPr>
        <w:pStyle w:val="Heading2"/>
      </w:pPr>
      <w:r>
        <w:t>Assignment, novation and other dealings</w:t>
      </w:r>
      <w:bookmarkEnd w:id="169"/>
    </w:p>
    <w:p w14:paraId="217574FB" w14:textId="37EFF917" w:rsidR="00F82EC2" w:rsidRDefault="00F82EC2" w:rsidP="009741FD">
      <w:pPr>
        <w:pStyle w:val="Heading3"/>
      </w:pPr>
      <w:r>
        <w:t xml:space="preserve">The Supplier must not </w:t>
      </w:r>
      <w:r w:rsidR="009741FD" w:rsidRPr="0038098A">
        <w:t xml:space="preserve">assign or novate this </w:t>
      </w:r>
      <w:r w:rsidR="009741FD">
        <w:t>Head Agreement</w:t>
      </w:r>
      <w:r w:rsidR="009741FD" w:rsidRPr="0038098A">
        <w:t xml:space="preserve"> or </w:t>
      </w:r>
      <w:r>
        <w:t xml:space="preserve">any Customer Contract that is made under this Head Agreement without obtaining the prior written consent of </w:t>
      </w:r>
      <w:proofErr w:type="spellStart"/>
      <w:r>
        <w:t>TfNSW</w:t>
      </w:r>
      <w:proofErr w:type="spellEnd"/>
      <w:r>
        <w:t xml:space="preserve"> (and for each Customer Contract, the relevant Customer’s prior written consent, in addition to </w:t>
      </w:r>
      <w:proofErr w:type="spellStart"/>
      <w:r>
        <w:t>TfNSW’s</w:t>
      </w:r>
      <w:proofErr w:type="spellEnd"/>
      <w:r>
        <w:t xml:space="preserve"> consent), which consent may be withheld at </w:t>
      </w:r>
      <w:proofErr w:type="spellStart"/>
      <w:r>
        <w:t>TfNSW’s</w:t>
      </w:r>
      <w:proofErr w:type="spellEnd"/>
      <w:r>
        <w:t xml:space="preserve"> discretion. </w:t>
      </w:r>
    </w:p>
    <w:p w14:paraId="0DD7C834" w14:textId="4678099E" w:rsidR="009741FD" w:rsidRPr="0038098A" w:rsidRDefault="00F82EC2" w:rsidP="009741FD">
      <w:pPr>
        <w:pStyle w:val="Heading3"/>
      </w:pPr>
      <w:r>
        <w:t xml:space="preserve">The Supplier acknowledges that </w:t>
      </w:r>
      <w:proofErr w:type="spellStart"/>
      <w:r>
        <w:t>TfNSW</w:t>
      </w:r>
      <w:proofErr w:type="spellEnd"/>
      <w:r>
        <w:t xml:space="preserve"> may conduct financial and other inquiries or checks on any entity proposing to take over this Head Agreement or any Customer Contract before determining whether or not to give consent to an assignment or novation.</w:t>
      </w:r>
    </w:p>
    <w:p w14:paraId="2A283820" w14:textId="662AA855" w:rsidR="00472A96" w:rsidRPr="00B7447A" w:rsidRDefault="002E7CC0" w:rsidP="009741FD">
      <w:pPr>
        <w:pStyle w:val="Heading3"/>
      </w:pPr>
      <w:bookmarkStart w:id="171" w:name="_Ref11495861"/>
      <w:proofErr w:type="spellStart"/>
      <w:r>
        <w:rPr>
          <w:rFonts w:eastAsia="Century Gothic"/>
        </w:rPr>
        <w:t>TfNSW</w:t>
      </w:r>
      <w:proofErr w:type="spellEnd"/>
      <w:r w:rsidR="001B7B23" w:rsidRPr="00076BFB">
        <w:rPr>
          <w:rFonts w:eastAsia="Century Gothic"/>
        </w:rPr>
        <w:t>, at its own cost</w:t>
      </w:r>
      <w:r w:rsidR="00F82EC2">
        <w:rPr>
          <w:rFonts w:eastAsia="Century Gothic"/>
        </w:rPr>
        <w:t xml:space="preserve"> and its own discretion</w:t>
      </w:r>
      <w:r w:rsidR="001B7B23" w:rsidRPr="00076BFB">
        <w:rPr>
          <w:rFonts w:eastAsia="Century Gothic"/>
        </w:rPr>
        <w:t xml:space="preserve">, may assign or novate </w:t>
      </w:r>
      <w:r w:rsidR="001B7B23">
        <w:rPr>
          <w:rFonts w:eastAsia="Century Gothic"/>
        </w:rPr>
        <w:t xml:space="preserve">this </w:t>
      </w:r>
      <w:r w:rsidR="00905F2B">
        <w:rPr>
          <w:rFonts w:eastAsia="Century Gothic"/>
        </w:rPr>
        <w:t xml:space="preserve">Head Agreement </w:t>
      </w:r>
      <w:r w:rsidR="00472A96">
        <w:rPr>
          <w:rFonts w:eastAsia="Century Gothic"/>
        </w:rPr>
        <w:t>if,</w:t>
      </w:r>
      <w:r w:rsidR="001B7B23" w:rsidRPr="00076BFB">
        <w:rPr>
          <w:rFonts w:eastAsia="Century Gothic"/>
        </w:rPr>
        <w:t xml:space="preserve"> by operation of </w:t>
      </w:r>
      <w:r w:rsidR="00C05C46">
        <w:rPr>
          <w:rFonts w:eastAsia="Century Gothic"/>
        </w:rPr>
        <w:t>Law</w:t>
      </w:r>
      <w:r w:rsidR="00472A96">
        <w:rPr>
          <w:rFonts w:eastAsia="Century Gothic"/>
        </w:rPr>
        <w:t>,</w:t>
      </w:r>
      <w:r w:rsidR="001B7B23" w:rsidRPr="00076BFB">
        <w:rPr>
          <w:rFonts w:eastAsia="Century Gothic"/>
        </w:rPr>
        <w:t xml:space="preserve"> </w:t>
      </w:r>
      <w:proofErr w:type="spellStart"/>
      <w:r>
        <w:rPr>
          <w:rFonts w:eastAsia="Century Gothic"/>
        </w:rPr>
        <w:t>TfNSW</w:t>
      </w:r>
      <w:proofErr w:type="spellEnd"/>
      <w:r w:rsidR="001B7B23">
        <w:rPr>
          <w:rFonts w:eastAsia="Century Gothic"/>
        </w:rPr>
        <w:t xml:space="preserve"> </w:t>
      </w:r>
      <w:r w:rsidR="001B7B23" w:rsidRPr="00076BFB">
        <w:rPr>
          <w:rFonts w:eastAsia="Century Gothic"/>
        </w:rPr>
        <w:t xml:space="preserve">is reconstituted into a new </w:t>
      </w:r>
      <w:r w:rsidR="00F82EC2">
        <w:rPr>
          <w:rFonts w:eastAsia="Century Gothic"/>
        </w:rPr>
        <w:t xml:space="preserve">body or </w:t>
      </w:r>
      <w:r w:rsidR="001B7B23" w:rsidRPr="00076BFB">
        <w:rPr>
          <w:rFonts w:eastAsia="Century Gothic"/>
        </w:rPr>
        <w:t>legal entity</w:t>
      </w:r>
      <w:r w:rsidR="00472A96">
        <w:rPr>
          <w:rFonts w:eastAsia="Century Gothic"/>
        </w:rPr>
        <w:t xml:space="preserve"> or the functions of </w:t>
      </w:r>
      <w:proofErr w:type="spellStart"/>
      <w:r>
        <w:rPr>
          <w:rFonts w:eastAsia="Century Gothic"/>
        </w:rPr>
        <w:t>TfNSW</w:t>
      </w:r>
      <w:proofErr w:type="spellEnd"/>
      <w:r w:rsidR="00472A96">
        <w:rPr>
          <w:rFonts w:eastAsia="Century Gothic"/>
        </w:rPr>
        <w:t xml:space="preserve"> relevant to this Head Agreement or the administration of the </w:t>
      </w:r>
      <w:r w:rsidR="00DE5082">
        <w:rPr>
          <w:rFonts w:eastAsia="Century Gothic"/>
        </w:rPr>
        <w:t>Scheme</w:t>
      </w:r>
      <w:r w:rsidR="00472A96">
        <w:rPr>
          <w:rFonts w:eastAsia="Century Gothic"/>
        </w:rPr>
        <w:t xml:space="preserve">, are transferred to a different </w:t>
      </w:r>
      <w:r w:rsidR="00F82EC2">
        <w:rPr>
          <w:rFonts w:eastAsia="Century Gothic"/>
        </w:rPr>
        <w:t xml:space="preserve">body or </w:t>
      </w:r>
      <w:r w:rsidR="00472A96">
        <w:rPr>
          <w:rFonts w:eastAsia="Century Gothic"/>
        </w:rPr>
        <w:t xml:space="preserve">legal entity.  </w:t>
      </w:r>
      <w:bookmarkEnd w:id="171"/>
      <w:r w:rsidR="00F82EC2">
        <w:rPr>
          <w:rFonts w:eastAsia="Century Gothic"/>
        </w:rPr>
        <w:t xml:space="preserve">The Supplier must cooperate in good faith and provide all reasonable assistance to the Customer in respect of any such assignment or novation. </w:t>
      </w:r>
    </w:p>
    <w:p w14:paraId="0D88B161" w14:textId="31B38C02" w:rsidR="00C021BD" w:rsidRPr="00472A96" w:rsidRDefault="00C021BD" w:rsidP="009741FD">
      <w:pPr>
        <w:pStyle w:val="Heading3"/>
      </w:pPr>
      <w:bookmarkStart w:id="172" w:name="_Hlk24174396"/>
      <w:r>
        <w:rPr>
          <w:rFonts w:eastAsia="Century Gothic"/>
        </w:rPr>
        <w:t xml:space="preserve">Without limiting clause </w:t>
      </w:r>
      <w:r>
        <w:rPr>
          <w:rFonts w:eastAsia="Century Gothic"/>
        </w:rPr>
        <w:fldChar w:fldCharType="begin"/>
      </w:r>
      <w:r>
        <w:rPr>
          <w:rFonts w:eastAsia="Century Gothic"/>
        </w:rPr>
        <w:instrText xml:space="preserve"> REF _Ref24117407 \w \h </w:instrText>
      </w:r>
      <w:r>
        <w:rPr>
          <w:rFonts w:eastAsia="Century Gothic"/>
        </w:rPr>
      </w:r>
      <w:r>
        <w:rPr>
          <w:rFonts w:eastAsia="Century Gothic"/>
        </w:rPr>
        <w:fldChar w:fldCharType="separate"/>
      </w:r>
      <w:r w:rsidR="00082E91">
        <w:rPr>
          <w:rFonts w:eastAsia="Century Gothic"/>
        </w:rPr>
        <w:t>13.2(a)(v)</w:t>
      </w:r>
      <w:r>
        <w:rPr>
          <w:rFonts w:eastAsia="Century Gothic"/>
        </w:rPr>
        <w:fldChar w:fldCharType="end"/>
      </w:r>
      <w:r>
        <w:rPr>
          <w:rFonts w:eastAsia="Century Gothic"/>
        </w:rPr>
        <w:t xml:space="preserve">, the Supplier must notify </w:t>
      </w:r>
      <w:proofErr w:type="spellStart"/>
      <w:r>
        <w:rPr>
          <w:rFonts w:eastAsia="Century Gothic"/>
        </w:rPr>
        <w:t>TfNSW</w:t>
      </w:r>
      <w:proofErr w:type="spellEnd"/>
      <w:r>
        <w:rPr>
          <w:rFonts w:eastAsia="Century Gothic"/>
        </w:rPr>
        <w:t xml:space="preserve"> if the Supplier or any parent company of the Supplier is about to undergo a Change in Control, at least 90 days in advance of the Change in Control occurring. If requested by </w:t>
      </w:r>
      <w:proofErr w:type="spellStart"/>
      <w:r>
        <w:rPr>
          <w:rFonts w:eastAsia="Century Gothic"/>
        </w:rPr>
        <w:t>TfNSW</w:t>
      </w:r>
      <w:proofErr w:type="spellEnd"/>
      <w:r>
        <w:rPr>
          <w:rFonts w:eastAsia="Century Gothic"/>
        </w:rPr>
        <w:t xml:space="preserve">, the Supplier must provide </w:t>
      </w:r>
      <w:proofErr w:type="spellStart"/>
      <w:r>
        <w:rPr>
          <w:rFonts w:eastAsia="Century Gothic"/>
        </w:rPr>
        <w:t>TfNSW</w:t>
      </w:r>
      <w:proofErr w:type="spellEnd"/>
      <w:r>
        <w:rPr>
          <w:rFonts w:eastAsia="Century Gothic"/>
        </w:rPr>
        <w:t xml:space="preserve"> with all information reasonably requested by </w:t>
      </w:r>
      <w:proofErr w:type="spellStart"/>
      <w:r>
        <w:rPr>
          <w:rFonts w:eastAsia="Century Gothic"/>
        </w:rPr>
        <w:t>TfNSW</w:t>
      </w:r>
      <w:proofErr w:type="spellEnd"/>
      <w:r>
        <w:rPr>
          <w:rFonts w:eastAsia="Century Gothic"/>
        </w:rPr>
        <w:t xml:space="preserve"> in respect of the Change in Control, including in respect of any incoming owner or other person who is to obtain control over the Supplier or any parent company. </w:t>
      </w:r>
    </w:p>
    <w:p w14:paraId="63FDF72B" w14:textId="600F94B9" w:rsidR="0038098A" w:rsidRDefault="0038098A" w:rsidP="00472A96">
      <w:pPr>
        <w:pStyle w:val="Heading2"/>
      </w:pPr>
      <w:bookmarkStart w:id="173" w:name="_Toc15419273"/>
      <w:bookmarkEnd w:id="170"/>
      <w:bookmarkEnd w:id="172"/>
      <w:r>
        <w:t xml:space="preserve">Entire Agreement </w:t>
      </w:r>
      <w:bookmarkEnd w:id="173"/>
    </w:p>
    <w:p w14:paraId="21001AC5" w14:textId="77777777" w:rsidR="0038098A" w:rsidRDefault="0038098A" w:rsidP="009741FD">
      <w:pPr>
        <w:pStyle w:val="BodyText"/>
        <w:rPr>
          <w:rFonts w:eastAsia="Century Gothic"/>
        </w:rPr>
      </w:pPr>
      <w:r w:rsidRPr="0038098A">
        <w:rPr>
          <w:rFonts w:eastAsia="Century Gothic"/>
        </w:rPr>
        <w:t xml:space="preserve">This </w:t>
      </w:r>
      <w:r w:rsidRPr="0038098A">
        <w:t>Head Agreement</w:t>
      </w:r>
      <w:r>
        <w:t xml:space="preserve"> </w:t>
      </w:r>
      <w:r w:rsidRPr="0038098A">
        <w:rPr>
          <w:rFonts w:eastAsia="Century Gothic"/>
        </w:rPr>
        <w:t xml:space="preserve">is the entire agreement between the parties about its subject matter and replaces all previous agreements, understandings, representations and warranties about that subject matter.  </w:t>
      </w:r>
    </w:p>
    <w:p w14:paraId="1C0FAB7F" w14:textId="77777777" w:rsidR="0091511A" w:rsidRDefault="0091511A" w:rsidP="00472A96">
      <w:pPr>
        <w:pStyle w:val="Heading2"/>
      </w:pPr>
      <w:bookmarkStart w:id="174" w:name="_Toc15419274"/>
      <w:r>
        <w:lastRenderedPageBreak/>
        <w:t>Variation</w:t>
      </w:r>
      <w:bookmarkEnd w:id="174"/>
      <w:r>
        <w:t xml:space="preserve"> </w:t>
      </w:r>
    </w:p>
    <w:p w14:paraId="2032D5E5" w14:textId="2B919EB1" w:rsidR="00105E76" w:rsidRDefault="00F82EC2" w:rsidP="00130878">
      <w:pPr>
        <w:pStyle w:val="Heading3"/>
        <w:numPr>
          <w:ilvl w:val="0"/>
          <w:numId w:val="0"/>
        </w:numPr>
        <w:ind w:left="1134"/>
      </w:pPr>
      <w:r>
        <w:t>Except where expressly permitted by this Head Agreement, a</w:t>
      </w:r>
      <w:r w:rsidR="00105E76" w:rsidRPr="00105E76">
        <w:t xml:space="preserve">ny change to </w:t>
      </w:r>
      <w:r w:rsidR="00905F2B">
        <w:t>this</w:t>
      </w:r>
      <w:r w:rsidR="00105E76" w:rsidRPr="00105E76">
        <w:t xml:space="preserve"> </w:t>
      </w:r>
      <w:r w:rsidR="00905F2B">
        <w:t xml:space="preserve">Head Agreement </w:t>
      </w:r>
      <w:r w:rsidR="00105E76" w:rsidRPr="00105E76">
        <w:t xml:space="preserve">must be in writing and signed by </w:t>
      </w:r>
      <w:r w:rsidR="00B87BC1">
        <w:t>the parties</w:t>
      </w:r>
      <w:r>
        <w:t xml:space="preserve"> in the form of a deed</w:t>
      </w:r>
      <w:r w:rsidR="00B87BC1">
        <w:t>.</w:t>
      </w:r>
    </w:p>
    <w:p w14:paraId="594472DA" w14:textId="77777777" w:rsidR="0038098A" w:rsidRDefault="0038098A" w:rsidP="00472A96">
      <w:pPr>
        <w:pStyle w:val="Heading2"/>
      </w:pPr>
      <w:bookmarkStart w:id="175" w:name="_Toc10644201"/>
      <w:bookmarkStart w:id="176" w:name="_Toc15419275"/>
      <w:r>
        <w:t>Relationship of the parties</w:t>
      </w:r>
      <w:bookmarkEnd w:id="175"/>
      <w:bookmarkEnd w:id="176"/>
    </w:p>
    <w:p w14:paraId="31F70C08" w14:textId="2E25FC76" w:rsidR="0038098A" w:rsidRPr="0038098A" w:rsidRDefault="0038098A" w:rsidP="0021329F">
      <w:pPr>
        <w:pStyle w:val="BodyText"/>
      </w:pPr>
      <w:r w:rsidRPr="0038098A">
        <w:t>Nothing in this Head Agreement</w:t>
      </w:r>
      <w:r>
        <w:t xml:space="preserve"> </w:t>
      </w:r>
      <w:r w:rsidR="00F82EC2">
        <w:t xml:space="preserve">creates or </w:t>
      </w:r>
      <w:r w:rsidRPr="0038098A">
        <w:t>is intended to constitute a fiduciary relationship or an agency, partnership or trust, and neither party has authority to bind the other party.</w:t>
      </w:r>
    </w:p>
    <w:p w14:paraId="6D956BE4" w14:textId="77777777" w:rsidR="0038098A" w:rsidRDefault="0038098A" w:rsidP="00472A96">
      <w:pPr>
        <w:pStyle w:val="Heading2"/>
      </w:pPr>
      <w:bookmarkStart w:id="177" w:name="_Toc10644202"/>
      <w:bookmarkStart w:id="178" w:name="_Toc15419276"/>
      <w:r>
        <w:t>Survival and merger</w:t>
      </w:r>
      <w:bookmarkEnd w:id="177"/>
      <w:bookmarkEnd w:id="178"/>
    </w:p>
    <w:p w14:paraId="1858F3A1" w14:textId="77777777" w:rsidR="0038098A" w:rsidRDefault="0038098A" w:rsidP="00472A96">
      <w:pPr>
        <w:pStyle w:val="Heading3"/>
      </w:pPr>
      <w:r>
        <w:t xml:space="preserve">No term of this </w:t>
      </w:r>
      <w:r w:rsidRPr="0038098A">
        <w:t>Head Agreement</w:t>
      </w:r>
      <w:r>
        <w:t xml:space="preserve"> merges on completion of any transaction contemplated by this </w:t>
      </w:r>
      <w:r w:rsidRPr="0038098A">
        <w:t>Head Agreement</w:t>
      </w:r>
      <w:r>
        <w:t xml:space="preserve">. </w:t>
      </w:r>
    </w:p>
    <w:p w14:paraId="27872D40" w14:textId="76A6EDDF" w:rsidR="002D4366" w:rsidRDefault="002D4366" w:rsidP="00472A96">
      <w:pPr>
        <w:pStyle w:val="Heading3"/>
      </w:pPr>
      <w:r>
        <w:t>The following clauses survive the termination and expiry of this Head Agreement:</w:t>
      </w:r>
      <w:r w:rsidR="00472A96">
        <w:t xml:space="preserve"> </w:t>
      </w:r>
      <w:r w:rsidR="0002773B">
        <w:fldChar w:fldCharType="begin"/>
      </w:r>
      <w:r w:rsidR="0002773B">
        <w:instrText xml:space="preserve"> REF _Ref19800802 \w \h </w:instrText>
      </w:r>
      <w:r w:rsidR="0002773B">
        <w:fldChar w:fldCharType="separate"/>
      </w:r>
      <w:r w:rsidR="00082E91">
        <w:t>1</w:t>
      </w:r>
      <w:r w:rsidR="0002773B">
        <w:fldChar w:fldCharType="end"/>
      </w:r>
      <w:r w:rsidR="0002773B">
        <w:t xml:space="preserve">, </w:t>
      </w:r>
      <w:r w:rsidR="00472A96">
        <w:fldChar w:fldCharType="begin"/>
      </w:r>
      <w:r w:rsidR="00472A96">
        <w:instrText xml:space="preserve"> REF _Ref10666377 \w \h </w:instrText>
      </w:r>
      <w:r w:rsidR="00472A96">
        <w:fldChar w:fldCharType="separate"/>
      </w:r>
      <w:r w:rsidR="00082E91">
        <w:t>8</w:t>
      </w:r>
      <w:r w:rsidR="00472A96">
        <w:fldChar w:fldCharType="end"/>
      </w:r>
      <w:r w:rsidR="00472A96">
        <w:t xml:space="preserve">, </w:t>
      </w:r>
      <w:r w:rsidR="00472A96">
        <w:fldChar w:fldCharType="begin"/>
      </w:r>
      <w:r w:rsidR="00472A96">
        <w:instrText xml:space="preserve"> REF _Ref10666170 \w \h </w:instrText>
      </w:r>
      <w:r w:rsidR="00472A96">
        <w:fldChar w:fldCharType="separate"/>
      </w:r>
      <w:r w:rsidR="00082E91">
        <w:t>9</w:t>
      </w:r>
      <w:r w:rsidR="00472A96">
        <w:fldChar w:fldCharType="end"/>
      </w:r>
      <w:r w:rsidR="00472A96">
        <w:t xml:space="preserve">, </w:t>
      </w:r>
      <w:r w:rsidR="0002773B">
        <w:fldChar w:fldCharType="begin"/>
      </w:r>
      <w:r w:rsidR="0002773B">
        <w:instrText xml:space="preserve"> REF _Ref16500872 \w \h </w:instrText>
      </w:r>
      <w:r w:rsidR="0002773B">
        <w:fldChar w:fldCharType="separate"/>
      </w:r>
      <w:r w:rsidR="00082E91">
        <w:t>10</w:t>
      </w:r>
      <w:r w:rsidR="0002773B">
        <w:fldChar w:fldCharType="end"/>
      </w:r>
      <w:r w:rsidR="0002773B">
        <w:t xml:space="preserve">, </w:t>
      </w:r>
      <w:r w:rsidR="00C021BD">
        <w:fldChar w:fldCharType="begin"/>
      </w:r>
      <w:r w:rsidR="00C021BD">
        <w:instrText xml:space="preserve"> REF _Ref24115454 \w \h </w:instrText>
      </w:r>
      <w:r w:rsidR="00C021BD">
        <w:fldChar w:fldCharType="separate"/>
      </w:r>
      <w:r w:rsidR="00082E91">
        <w:t>11</w:t>
      </w:r>
      <w:r w:rsidR="00C021BD">
        <w:fldChar w:fldCharType="end"/>
      </w:r>
      <w:r w:rsidR="0002773B">
        <w:t xml:space="preserve">, </w:t>
      </w:r>
      <w:r w:rsidR="00472A96">
        <w:fldChar w:fldCharType="begin"/>
      </w:r>
      <w:r w:rsidR="00472A96">
        <w:instrText xml:space="preserve"> REF _Ref10112831 \w \h </w:instrText>
      </w:r>
      <w:r w:rsidR="00472A96">
        <w:fldChar w:fldCharType="separate"/>
      </w:r>
      <w:r w:rsidR="00082E91">
        <w:t>12</w:t>
      </w:r>
      <w:r w:rsidR="00472A96">
        <w:fldChar w:fldCharType="end"/>
      </w:r>
      <w:r w:rsidR="00472A96">
        <w:t xml:space="preserve">, </w:t>
      </w:r>
      <w:r w:rsidR="00472A96">
        <w:fldChar w:fldCharType="begin"/>
      </w:r>
      <w:r w:rsidR="00472A96">
        <w:instrText xml:space="preserve"> REF _Ref11495729 \w \h </w:instrText>
      </w:r>
      <w:r w:rsidR="00472A96">
        <w:fldChar w:fldCharType="separate"/>
      </w:r>
      <w:r w:rsidR="00082E91">
        <w:t>13.4</w:t>
      </w:r>
      <w:r w:rsidR="00472A96">
        <w:fldChar w:fldCharType="end"/>
      </w:r>
      <w:r w:rsidR="0002773B">
        <w:t xml:space="preserve">, </w:t>
      </w:r>
      <w:r w:rsidR="0002773B">
        <w:fldChar w:fldCharType="begin"/>
      </w:r>
      <w:r w:rsidR="0002773B">
        <w:instrText xml:space="preserve"> REF _Ref10666506 \w \h </w:instrText>
      </w:r>
      <w:r w:rsidR="0002773B">
        <w:fldChar w:fldCharType="separate"/>
      </w:r>
      <w:r w:rsidR="00082E91">
        <w:t>14</w:t>
      </w:r>
      <w:r w:rsidR="0002773B">
        <w:fldChar w:fldCharType="end"/>
      </w:r>
      <w:r w:rsidR="001C4CCB">
        <w:t xml:space="preserve"> and</w:t>
      </w:r>
      <w:r w:rsidR="00472A96">
        <w:t xml:space="preserve"> </w:t>
      </w:r>
      <w:r w:rsidR="00472A96">
        <w:fldChar w:fldCharType="begin"/>
      </w:r>
      <w:r w:rsidR="00472A96">
        <w:instrText xml:space="preserve"> REF _Ref11495749 \w \h </w:instrText>
      </w:r>
      <w:r w:rsidR="00472A96">
        <w:fldChar w:fldCharType="separate"/>
      </w:r>
      <w:r w:rsidR="00082E91">
        <w:t>15</w:t>
      </w:r>
      <w:r w:rsidR="00472A96">
        <w:fldChar w:fldCharType="end"/>
      </w:r>
      <w:r w:rsidR="00472A96">
        <w:t xml:space="preserve"> and </w:t>
      </w:r>
      <w:r>
        <w:t>any clauses that are expressed to or which by their nature survive termination or expiry</w:t>
      </w:r>
      <w:r w:rsidR="00472A96">
        <w:t>.</w:t>
      </w:r>
    </w:p>
    <w:p w14:paraId="07DFA7DA" w14:textId="77777777" w:rsidR="0038098A" w:rsidRDefault="0038098A" w:rsidP="009741FD">
      <w:pPr>
        <w:pStyle w:val="Heading2"/>
      </w:pPr>
      <w:bookmarkStart w:id="179" w:name="_Toc15419277"/>
      <w:r>
        <w:t>Severability</w:t>
      </w:r>
      <w:bookmarkEnd w:id="179"/>
    </w:p>
    <w:p w14:paraId="2A370122" w14:textId="77777777" w:rsidR="0038098A" w:rsidRPr="0038098A" w:rsidRDefault="0038098A" w:rsidP="0021329F">
      <w:pPr>
        <w:pStyle w:val="BodyText"/>
      </w:pPr>
      <w:r w:rsidRPr="0038098A">
        <w:t xml:space="preserve">Any term of this </w:t>
      </w:r>
      <w:r w:rsidRPr="0038098A">
        <w:rPr>
          <w:rFonts w:eastAsia="Century Gothic" w:cs="Century Gothic"/>
        </w:rPr>
        <w:t>Head Agreement</w:t>
      </w:r>
      <w:r w:rsidRPr="0038098A">
        <w:t xml:space="preserve"> which is wholly or partially void or unenforceable is severed to the extent that it is void or unenforceable. The validity or enforceability of the remainder of this agreement is not affected.</w:t>
      </w:r>
    </w:p>
    <w:p w14:paraId="1B332BE7" w14:textId="77777777" w:rsidR="0038098A" w:rsidRDefault="0038098A" w:rsidP="009741FD">
      <w:pPr>
        <w:pStyle w:val="Heading2"/>
      </w:pPr>
      <w:bookmarkStart w:id="180" w:name="_Toc15419278"/>
      <w:r>
        <w:t>Waiver</w:t>
      </w:r>
      <w:bookmarkEnd w:id="180"/>
    </w:p>
    <w:p w14:paraId="1527F963" w14:textId="77777777" w:rsidR="0038098A" w:rsidRPr="0038098A" w:rsidRDefault="0038098A" w:rsidP="009741FD">
      <w:pPr>
        <w:pStyle w:val="Heading3"/>
      </w:pPr>
      <w:r w:rsidRPr="0038098A">
        <w:t xml:space="preserve">No waiver of a right or remedy under this </w:t>
      </w:r>
      <w:r>
        <w:rPr>
          <w:rFonts w:eastAsia="Century Gothic" w:cs="Century Gothic"/>
        </w:rPr>
        <w:t>Head Agreement</w:t>
      </w:r>
      <w:r w:rsidRPr="0038098A">
        <w:t xml:space="preserve"> is effective unless it is in writing and signed by the party granting it. It is only effective in the specific instance and for the specific purpose for which it is granted.</w:t>
      </w:r>
    </w:p>
    <w:p w14:paraId="399714D8" w14:textId="77777777" w:rsidR="0038098A" w:rsidRPr="0002773B" w:rsidRDefault="0038098A" w:rsidP="009741FD">
      <w:pPr>
        <w:pStyle w:val="Heading3"/>
      </w:pPr>
      <w:r w:rsidRPr="0038098A">
        <w:t xml:space="preserve">A single or partial exercise of a right or remedy under this </w:t>
      </w:r>
      <w:r w:rsidR="009741FD">
        <w:t>Head</w:t>
      </w:r>
      <w:r w:rsidRPr="0038098A">
        <w:t xml:space="preserve"> </w:t>
      </w:r>
      <w:r w:rsidR="009741FD">
        <w:t>Agreement</w:t>
      </w:r>
      <w:r w:rsidRPr="0038098A">
        <w:t xml:space="preserve"> does not prevent a further exercise of that or any other right or remedy. Failure to exercise or delay in exercising a right or remedy under this </w:t>
      </w:r>
      <w:r w:rsidR="009741FD">
        <w:t>Head</w:t>
      </w:r>
      <w:r w:rsidR="009741FD" w:rsidRPr="0038098A">
        <w:t xml:space="preserve"> </w:t>
      </w:r>
      <w:r w:rsidR="009741FD">
        <w:t>Agreement</w:t>
      </w:r>
      <w:r w:rsidR="009741FD" w:rsidRPr="0038098A">
        <w:t xml:space="preserve"> </w:t>
      </w:r>
      <w:r w:rsidRPr="0038098A">
        <w:t>does not operate as a waiver or prevent</w:t>
      </w:r>
      <w:r w:rsidRPr="0038098A">
        <w:rPr>
          <w:b/>
        </w:rPr>
        <w:t xml:space="preserve"> </w:t>
      </w:r>
      <w:r w:rsidRPr="00965C2F">
        <w:t>further exercise of that or any other right or remedy.</w:t>
      </w:r>
    </w:p>
    <w:p w14:paraId="7407800D" w14:textId="77777777" w:rsidR="0038098A" w:rsidRDefault="0038098A" w:rsidP="009741FD">
      <w:pPr>
        <w:pStyle w:val="Heading2"/>
      </w:pPr>
      <w:bookmarkStart w:id="181" w:name="_Toc15419279"/>
      <w:r>
        <w:t>Cumulative rights</w:t>
      </w:r>
      <w:bookmarkEnd w:id="181"/>
    </w:p>
    <w:p w14:paraId="5EC86DE7" w14:textId="77777777" w:rsidR="0038098A" w:rsidRPr="0038098A" w:rsidRDefault="0038098A" w:rsidP="009741FD">
      <w:pPr>
        <w:pStyle w:val="BodyText"/>
        <w:rPr>
          <w:rFonts w:eastAsia="Century Gothic"/>
        </w:rPr>
      </w:pPr>
      <w:r w:rsidRPr="0038098A">
        <w:rPr>
          <w:rFonts w:eastAsia="Century Gothic"/>
        </w:rPr>
        <w:t xml:space="preserve">Except as expressly provided in this </w:t>
      </w:r>
      <w:r>
        <w:rPr>
          <w:rFonts w:eastAsia="Century Gothic"/>
        </w:rPr>
        <w:t>Head Agreement</w:t>
      </w:r>
      <w:r w:rsidRPr="0038098A">
        <w:rPr>
          <w:rFonts w:eastAsia="Century Gothic"/>
        </w:rPr>
        <w:t xml:space="preserve">, the rights of a party under this </w:t>
      </w:r>
      <w:r w:rsidR="004B171B">
        <w:rPr>
          <w:rFonts w:eastAsia="Century Gothic"/>
        </w:rPr>
        <w:t>Head A</w:t>
      </w:r>
      <w:r w:rsidRPr="0038098A">
        <w:rPr>
          <w:rFonts w:eastAsia="Century Gothic"/>
        </w:rPr>
        <w:t>greement are in addition to and do not exclude or limit any other rights or remedies provided by Law.</w:t>
      </w:r>
    </w:p>
    <w:p w14:paraId="4A2D286F" w14:textId="77777777" w:rsidR="0038098A" w:rsidRDefault="0038098A" w:rsidP="009741FD">
      <w:pPr>
        <w:pStyle w:val="Heading2"/>
      </w:pPr>
      <w:bookmarkStart w:id="182" w:name="_Toc15419280"/>
      <w:r>
        <w:t>Further assurances</w:t>
      </w:r>
      <w:bookmarkEnd w:id="182"/>
    </w:p>
    <w:p w14:paraId="41750B48" w14:textId="77777777" w:rsidR="0038098A" w:rsidRPr="0038098A" w:rsidRDefault="0038098A" w:rsidP="009741FD">
      <w:pPr>
        <w:pStyle w:val="BodyText"/>
        <w:rPr>
          <w:rFonts w:eastAsia="Century Gothic"/>
        </w:rPr>
      </w:pPr>
      <w:r w:rsidRPr="0038098A">
        <w:rPr>
          <w:rFonts w:eastAsia="Century Gothic"/>
        </w:rPr>
        <w:t xml:space="preserve">Each party must do all things and execute all further documents necessary to give full effect to this </w:t>
      </w:r>
      <w:r>
        <w:rPr>
          <w:rFonts w:eastAsia="Century Gothic"/>
        </w:rPr>
        <w:t>Head Agreement</w:t>
      </w:r>
      <w:r w:rsidRPr="0038098A">
        <w:rPr>
          <w:rFonts w:eastAsia="Century Gothic"/>
        </w:rPr>
        <w:t>.</w:t>
      </w:r>
    </w:p>
    <w:p w14:paraId="455FF72E" w14:textId="5FD21E7F" w:rsidR="00F82EC2" w:rsidRDefault="00F82EC2" w:rsidP="009741FD">
      <w:pPr>
        <w:pStyle w:val="Heading2"/>
      </w:pPr>
      <w:bookmarkStart w:id="183" w:name="_Ref10668600"/>
      <w:bookmarkStart w:id="184" w:name="_Toc15419281"/>
      <w:r>
        <w:t>Costs</w:t>
      </w:r>
    </w:p>
    <w:p w14:paraId="1AE8C581" w14:textId="1518B91D" w:rsidR="00F82EC2" w:rsidRPr="00F82EC2" w:rsidRDefault="00F82EC2" w:rsidP="00F82EC2">
      <w:pPr>
        <w:pStyle w:val="BodyText"/>
      </w:pPr>
      <w:r>
        <w:t xml:space="preserve">Other than as expressly set out in this Head Agreement, each party must bear its own costs in complying with its obligations under this Head Agreement. </w:t>
      </w:r>
    </w:p>
    <w:p w14:paraId="423EA4A5" w14:textId="02530127" w:rsidR="0091511A" w:rsidRPr="0038098A" w:rsidRDefault="0091511A" w:rsidP="009741FD">
      <w:pPr>
        <w:pStyle w:val="Heading2"/>
      </w:pPr>
      <w:bookmarkStart w:id="185" w:name="_Ref25682312"/>
      <w:r w:rsidRPr="0038098A">
        <w:t>Notices</w:t>
      </w:r>
      <w:bookmarkEnd w:id="183"/>
      <w:bookmarkEnd w:id="184"/>
      <w:bookmarkEnd w:id="185"/>
    </w:p>
    <w:p w14:paraId="783F1F76" w14:textId="77777777" w:rsidR="006D7A17" w:rsidRDefault="0038098A" w:rsidP="006D7A17">
      <w:pPr>
        <w:pStyle w:val="Heading3"/>
      </w:pPr>
      <w:r w:rsidRPr="0038098A">
        <w:t xml:space="preserve">A notice, consent or other communication under this </w:t>
      </w:r>
      <w:r>
        <w:t>Head Agreement</w:t>
      </w:r>
      <w:r w:rsidRPr="0038098A">
        <w:t xml:space="preserve"> is only effective if it is in writing, signed by or on behalf of the party giving it and it is received in full and legible form at the addressee</w:t>
      </w:r>
      <w:r w:rsidR="003467D1">
        <w:t>’</w:t>
      </w:r>
      <w:r w:rsidRPr="0038098A">
        <w:t>s address</w:t>
      </w:r>
      <w:r w:rsidR="009741FD">
        <w:t xml:space="preserve"> or email address</w:t>
      </w:r>
      <w:r w:rsidRPr="0038098A">
        <w:t xml:space="preserve">.  </w:t>
      </w:r>
    </w:p>
    <w:p w14:paraId="28A6E3AF" w14:textId="29D96CC3" w:rsidR="006D7A17" w:rsidRDefault="006D7A17" w:rsidP="006D7A17">
      <w:pPr>
        <w:pStyle w:val="Heading3"/>
      </w:pPr>
      <w:r w:rsidRPr="0038098A">
        <w:lastRenderedPageBreak/>
        <w:t>F</w:t>
      </w:r>
      <w:r>
        <w:t>or the purposes of this clause</w:t>
      </w:r>
      <w:r w:rsidR="003C0DC4">
        <w:t xml:space="preserve"> </w:t>
      </w:r>
      <w:r w:rsidR="00102F00">
        <w:fldChar w:fldCharType="begin"/>
      </w:r>
      <w:r w:rsidR="00102F00">
        <w:instrText xml:space="preserve"> REF _Ref25682312 \w \h </w:instrText>
      </w:r>
      <w:r w:rsidR="00102F00">
        <w:fldChar w:fldCharType="separate"/>
      </w:r>
      <w:r w:rsidR="003C0DC4">
        <w:t>15.12</w:t>
      </w:r>
      <w:r w:rsidR="00102F00">
        <w:fldChar w:fldCharType="end"/>
      </w:r>
      <w:r w:rsidRPr="0038098A">
        <w:t>, a party</w:t>
      </w:r>
      <w:r>
        <w:t>’</w:t>
      </w:r>
      <w:r w:rsidRPr="0038098A">
        <w:t xml:space="preserve">s address </w:t>
      </w:r>
      <w:r>
        <w:t>and email address is that</w:t>
      </w:r>
      <w:r w:rsidRPr="0038098A">
        <w:t xml:space="preserve"> set out in the </w:t>
      </w:r>
      <w:r>
        <w:t xml:space="preserve">Head Agreement </w:t>
      </w:r>
      <w:r w:rsidRPr="0038098A">
        <w:t>Details, unless the party has notified a changed address, then the notice, consent, approval or other communication must be to that address.</w:t>
      </w:r>
    </w:p>
    <w:p w14:paraId="2579871E" w14:textId="77777777" w:rsidR="0038098A" w:rsidRDefault="009741FD" w:rsidP="009741FD">
      <w:pPr>
        <w:pStyle w:val="Heading3"/>
      </w:pPr>
      <w:r>
        <w:t xml:space="preserve">A </w:t>
      </w:r>
      <w:r w:rsidRPr="0038098A">
        <w:t xml:space="preserve">notice, consent or other communication </w:t>
      </w:r>
      <w:r>
        <w:t xml:space="preserve">will be </w:t>
      </w:r>
      <w:r w:rsidR="0038098A" w:rsidRPr="0038098A">
        <w:t>regarded as received at the time and on the day it is actually received, but if it is received on a day that is not a Business Day or after 5.00 pm on a Business Day it is regarded as received at 9.00 am on the following Business Day.</w:t>
      </w:r>
    </w:p>
    <w:p w14:paraId="42415BDF" w14:textId="77777777" w:rsidR="009741FD" w:rsidRDefault="009741FD" w:rsidP="009741FD">
      <w:pPr>
        <w:pStyle w:val="Heading3"/>
      </w:pPr>
      <w:r>
        <w:t>Unless there is evidence to the contrary:</w:t>
      </w:r>
    </w:p>
    <w:p w14:paraId="606E48E9" w14:textId="77777777" w:rsidR="009741FD" w:rsidRDefault="009741FD" w:rsidP="009741FD">
      <w:pPr>
        <w:pStyle w:val="Heading4"/>
      </w:pPr>
      <w:proofErr w:type="gramStart"/>
      <w:r>
        <w:t>a</w:t>
      </w:r>
      <w:proofErr w:type="gramEnd"/>
      <w:r>
        <w:t xml:space="preserve"> letter sent by post will be taken to be received on the third Business Day after posting (or seventh, if posted to or from a place outside of Australia); </w:t>
      </w:r>
    </w:p>
    <w:p w14:paraId="01EFF6C1" w14:textId="77777777" w:rsidR="009741FD" w:rsidRDefault="009741FD" w:rsidP="009741FD">
      <w:pPr>
        <w:pStyle w:val="Heading4"/>
      </w:pPr>
      <w:proofErr w:type="gramStart"/>
      <w:r>
        <w:t>in</w:t>
      </w:r>
      <w:proofErr w:type="gramEnd"/>
      <w:r>
        <w:t xml:space="preserve"> the case of email:</w:t>
      </w:r>
    </w:p>
    <w:p w14:paraId="6DD9F100" w14:textId="77777777" w:rsidR="009741FD" w:rsidRDefault="009741FD" w:rsidP="009741FD">
      <w:pPr>
        <w:pStyle w:val="Heading5"/>
      </w:pPr>
      <w:proofErr w:type="gramStart"/>
      <w:r>
        <w:t>production</w:t>
      </w:r>
      <w:proofErr w:type="gramEnd"/>
      <w:r>
        <w:t xml:space="preserve"> of a delivery notification statement from the computer from which the email was sent which indicates that the email was sent in its entirety to the email address of the recipient will be prima facie evidence that the email has been received; </w:t>
      </w:r>
    </w:p>
    <w:p w14:paraId="5CFF7141" w14:textId="77777777" w:rsidR="009741FD" w:rsidRDefault="009741FD" w:rsidP="009741FD">
      <w:pPr>
        <w:pStyle w:val="Heading5"/>
      </w:pPr>
      <w:r>
        <w:t>where there is no delivery notification statement from the computer from which the email was sent, the date and the time of dispatch of the email will be prima facie evidence of the date and time that the email was received; and</w:t>
      </w:r>
    </w:p>
    <w:p w14:paraId="4EA8BCE1" w14:textId="2890C8CC" w:rsidR="009741FD" w:rsidRPr="0038098A" w:rsidRDefault="009741FD" w:rsidP="009741FD">
      <w:pPr>
        <w:pStyle w:val="Heading5"/>
      </w:pPr>
      <w:proofErr w:type="gramStart"/>
      <w:r>
        <w:t>where</w:t>
      </w:r>
      <w:proofErr w:type="gramEnd"/>
      <w:r>
        <w:t xml:space="preserve"> an </w:t>
      </w:r>
      <w:r w:rsidR="003467D1">
        <w:t>“</w:t>
      </w:r>
      <w:r>
        <w:t>out of office</w:t>
      </w:r>
      <w:r w:rsidR="003467D1">
        <w:t>”</w:t>
      </w:r>
      <w:r>
        <w:t>, delivery error or similar response is returned in response to that email, the email will not be taken to be received and the sender must use an alternative method of giving that notice in accordance with this clause</w:t>
      </w:r>
      <w:r w:rsidR="00102F00">
        <w:t xml:space="preserve"> </w:t>
      </w:r>
      <w:r w:rsidR="00102F00">
        <w:fldChar w:fldCharType="begin"/>
      </w:r>
      <w:r w:rsidR="00102F00">
        <w:instrText xml:space="preserve"> REF _Ref25682312 \w \h </w:instrText>
      </w:r>
      <w:r w:rsidR="00102F00">
        <w:fldChar w:fldCharType="separate"/>
      </w:r>
      <w:r w:rsidR="00102F00">
        <w:t>15.12</w:t>
      </w:r>
      <w:r w:rsidR="00102F00">
        <w:fldChar w:fldCharType="end"/>
      </w:r>
      <w:r>
        <w:t>.</w:t>
      </w:r>
    </w:p>
    <w:p w14:paraId="3A62DDA7" w14:textId="77777777" w:rsidR="0038098A" w:rsidRDefault="0038098A" w:rsidP="00965C2F">
      <w:pPr>
        <w:pStyle w:val="Heading2"/>
        <w:tabs>
          <w:tab w:val="clear" w:pos="567"/>
          <w:tab w:val="num" w:pos="709"/>
        </w:tabs>
        <w:ind w:left="1276"/>
      </w:pPr>
      <w:bookmarkStart w:id="186" w:name="_Toc10644209"/>
      <w:bookmarkStart w:id="187" w:name="_Toc15419282"/>
      <w:r>
        <w:t>Construction</w:t>
      </w:r>
      <w:bookmarkEnd w:id="186"/>
      <w:bookmarkEnd w:id="187"/>
    </w:p>
    <w:p w14:paraId="7DDE284E" w14:textId="77777777" w:rsidR="0038098A" w:rsidRDefault="0038098A" w:rsidP="00965C2F">
      <w:pPr>
        <w:pStyle w:val="BodyText"/>
        <w:ind w:left="1276"/>
      </w:pPr>
      <w:r>
        <w:t>No rule of construction applies to the disadvantage of a party because that party was responsible for the preparation of this Head Agreement.</w:t>
      </w:r>
    </w:p>
    <w:p w14:paraId="4EBD33F8" w14:textId="77777777" w:rsidR="0038098A" w:rsidRDefault="0038098A" w:rsidP="00965C2F">
      <w:pPr>
        <w:pStyle w:val="Heading2"/>
        <w:tabs>
          <w:tab w:val="clear" w:pos="567"/>
          <w:tab w:val="num" w:pos="709"/>
        </w:tabs>
        <w:ind w:left="1276"/>
      </w:pPr>
      <w:bookmarkStart w:id="188" w:name="_Toc10644210"/>
      <w:bookmarkStart w:id="189" w:name="_Toc15419283"/>
      <w:r>
        <w:t xml:space="preserve">Governing </w:t>
      </w:r>
      <w:r w:rsidR="00C05C46">
        <w:t>Law</w:t>
      </w:r>
      <w:bookmarkEnd w:id="188"/>
      <w:bookmarkEnd w:id="189"/>
    </w:p>
    <w:p w14:paraId="4B7F7FD8" w14:textId="77777777" w:rsidR="0038098A" w:rsidRDefault="0038098A" w:rsidP="00965C2F">
      <w:pPr>
        <w:pStyle w:val="BodyText"/>
        <w:ind w:left="1276"/>
      </w:pPr>
      <w:r>
        <w:t xml:space="preserve">This Head Agreement is governed by the </w:t>
      </w:r>
      <w:r w:rsidR="00C05C46">
        <w:t>Law</w:t>
      </w:r>
      <w:r>
        <w:t>s of New South Wales, Australia.  Each party irrevocably and unconditionally submits to the exclusive jurisdiction of the courts of New South Wales, Australia.</w:t>
      </w:r>
    </w:p>
    <w:p w14:paraId="755857A2" w14:textId="77777777" w:rsidR="00F949F3" w:rsidRDefault="00F949F3" w:rsidP="00965C2F">
      <w:pPr>
        <w:pStyle w:val="BodyText"/>
        <w:ind w:left="1276"/>
      </w:pPr>
    </w:p>
    <w:p w14:paraId="5926DDB5" w14:textId="77777777" w:rsidR="00F949F3" w:rsidRDefault="00F949F3" w:rsidP="00965C2F">
      <w:pPr>
        <w:pStyle w:val="BodyText"/>
        <w:ind w:left="1276"/>
      </w:pPr>
    </w:p>
    <w:p w14:paraId="43144C55" w14:textId="77777777" w:rsidR="00F949F3" w:rsidRPr="00F949F3" w:rsidRDefault="00F949F3" w:rsidP="00965C2F">
      <w:pPr>
        <w:pStyle w:val="BodyText"/>
        <w:ind w:left="1276"/>
        <w:sectPr w:rsidR="00F949F3" w:rsidRPr="00F949F3" w:rsidSect="007F499A">
          <w:headerReference w:type="even" r:id="rId15"/>
          <w:headerReference w:type="default" r:id="rId16"/>
          <w:footerReference w:type="even" r:id="rId17"/>
          <w:footerReference w:type="default" r:id="rId18"/>
          <w:headerReference w:type="first" r:id="rId19"/>
          <w:footerReference w:type="first" r:id="rId20"/>
          <w:pgSz w:w="11910" w:h="16850"/>
          <w:pgMar w:top="760" w:right="1137" w:bottom="280" w:left="1701" w:header="720" w:footer="720" w:gutter="0"/>
          <w:cols w:space="720"/>
        </w:sectPr>
      </w:pPr>
    </w:p>
    <w:p w14:paraId="7CC14213" w14:textId="256F3FC1" w:rsidR="00D1312F" w:rsidRPr="00836EE7" w:rsidRDefault="00F679F9" w:rsidP="00442A17">
      <w:pPr>
        <w:pStyle w:val="SchTitleHeading"/>
      </w:pPr>
      <w:bookmarkStart w:id="190" w:name="_bookmark4"/>
      <w:bookmarkStart w:id="191" w:name="_Toc15419284"/>
      <w:bookmarkStart w:id="192" w:name="_Ref11495758"/>
      <w:bookmarkEnd w:id="190"/>
      <w:r>
        <w:lastRenderedPageBreak/>
        <w:t>Schedule 1</w:t>
      </w:r>
      <w:r>
        <w:tab/>
      </w:r>
      <w:r w:rsidR="00D1312F" w:rsidRPr="00836EE7">
        <w:t>Dictionary</w:t>
      </w:r>
      <w:bookmarkEnd w:id="191"/>
      <w:r w:rsidR="00091C8B">
        <w:t xml:space="preserve"> </w:t>
      </w:r>
      <w:bookmarkEnd w:id="192"/>
      <w:r w:rsidR="00442A17">
        <w:t>and interpretation</w:t>
      </w:r>
    </w:p>
    <w:p w14:paraId="1D10D402" w14:textId="77777777" w:rsidR="00515EC3" w:rsidRDefault="00515EC3" w:rsidP="00965C2F">
      <w:pPr>
        <w:pStyle w:val="Sch1"/>
        <w:tabs>
          <w:tab w:val="clear" w:pos="567"/>
          <w:tab w:val="num" w:pos="709"/>
        </w:tabs>
        <w:ind w:left="709"/>
      </w:pPr>
      <w:bookmarkStart w:id="193" w:name="_Ref516051694"/>
      <w:bookmarkStart w:id="194" w:name="_Toc516648650"/>
      <w:bookmarkStart w:id="195" w:name="_Toc516651405"/>
      <w:bookmarkStart w:id="196" w:name="_Toc516761229"/>
      <w:r>
        <w:t>Dictionary</w:t>
      </w:r>
      <w:bookmarkEnd w:id="193"/>
      <w:bookmarkEnd w:id="194"/>
      <w:bookmarkEnd w:id="195"/>
      <w:bookmarkEnd w:id="196"/>
    </w:p>
    <w:p w14:paraId="29A20301" w14:textId="5171459F" w:rsidR="00515EC3" w:rsidRDefault="00515EC3" w:rsidP="00282424">
      <w:pPr>
        <w:pStyle w:val="BodyText"/>
      </w:pPr>
      <w:r>
        <w:t xml:space="preserve">In </w:t>
      </w:r>
      <w:r w:rsidR="0021329F">
        <w:t>this Head Agreement</w:t>
      </w:r>
      <w:r>
        <w:t>:</w:t>
      </w:r>
    </w:p>
    <w:p w14:paraId="4902B6F9" w14:textId="727B1F2D" w:rsidR="006300FE" w:rsidRPr="006300FE" w:rsidRDefault="006300FE" w:rsidP="00282424">
      <w:pPr>
        <w:pStyle w:val="BodyText"/>
      </w:pPr>
      <w:r>
        <w:rPr>
          <w:b/>
        </w:rPr>
        <w:t xml:space="preserve">Anti-slavery Commissioner </w:t>
      </w:r>
      <w:r>
        <w:t xml:space="preserve">means the Anti-slavery Commissioner appointed under the </w:t>
      </w:r>
      <w:r>
        <w:rPr>
          <w:i/>
        </w:rPr>
        <w:t>Modern Slavery Act 2018</w:t>
      </w:r>
      <w:r>
        <w:t xml:space="preserve"> (NSW).</w:t>
      </w:r>
    </w:p>
    <w:p w14:paraId="5373DF85" w14:textId="605571FC" w:rsidR="00141391" w:rsidRPr="00141391" w:rsidRDefault="00141391" w:rsidP="00282424">
      <w:pPr>
        <w:pStyle w:val="BodyText"/>
      </w:pPr>
      <w:r>
        <w:rPr>
          <w:b/>
        </w:rPr>
        <w:t xml:space="preserve">Approved Digital Engineering Services </w:t>
      </w:r>
      <w:r>
        <w:t xml:space="preserve">means those Digital Engineering Services which are selected in the Service Menu. </w:t>
      </w:r>
    </w:p>
    <w:p w14:paraId="5556CCF2" w14:textId="2F3D3378" w:rsidR="002B1B2C" w:rsidRPr="002B1B2C" w:rsidRDefault="002B1B2C" w:rsidP="00282424">
      <w:pPr>
        <w:pStyle w:val="BodyText"/>
      </w:pPr>
      <w:r>
        <w:rPr>
          <w:b/>
        </w:rPr>
        <w:t xml:space="preserve">Associate </w:t>
      </w:r>
      <w:r>
        <w:t xml:space="preserve">has the meaning given in section 11 of the </w:t>
      </w:r>
      <w:r>
        <w:rPr>
          <w:i/>
        </w:rPr>
        <w:t>Corporations Act</w:t>
      </w:r>
      <w:r>
        <w:t>.</w:t>
      </w:r>
    </w:p>
    <w:p w14:paraId="47F1E969" w14:textId="0797E307" w:rsidR="00125C30" w:rsidRPr="00431085" w:rsidRDefault="00125C30" w:rsidP="00282424">
      <w:pPr>
        <w:pStyle w:val="BodyText"/>
      </w:pPr>
      <w:r>
        <w:rPr>
          <w:b/>
        </w:rPr>
        <w:t xml:space="preserve">Board </w:t>
      </w:r>
      <w:r>
        <w:t xml:space="preserve">has the meaning given in Recital A.  </w:t>
      </w:r>
    </w:p>
    <w:p w14:paraId="475A12A2" w14:textId="4A29FD94" w:rsidR="00380DCC" w:rsidRDefault="00380DCC" w:rsidP="00282424">
      <w:pPr>
        <w:pStyle w:val="BodyText"/>
      </w:pPr>
      <w:r>
        <w:rPr>
          <w:b/>
        </w:rPr>
        <w:t xml:space="preserve">Business Day </w:t>
      </w:r>
      <w:r>
        <w:t>means any day that is not a Saturday, Sunday or public holiday in New South Wales.</w:t>
      </w:r>
    </w:p>
    <w:p w14:paraId="63BD333F" w14:textId="5B9E43CD" w:rsidR="008F3454" w:rsidRPr="00965C2F" w:rsidRDefault="008F3454" w:rsidP="00C27818">
      <w:pPr>
        <w:pStyle w:val="BodyText"/>
      </w:pPr>
      <w:r w:rsidRPr="008F3454">
        <w:rPr>
          <w:b/>
          <w:color w:val="000000" w:themeColor="text1"/>
          <w:szCs w:val="22"/>
        </w:rPr>
        <w:t>Change in Control</w:t>
      </w:r>
      <w:r w:rsidRPr="008940C9">
        <w:rPr>
          <w:b/>
        </w:rPr>
        <w:t xml:space="preserve"> </w:t>
      </w:r>
      <w:r w:rsidRPr="008F3454">
        <w:t>means</w:t>
      </w:r>
      <w:r>
        <w:t xml:space="preserve"> </w:t>
      </w:r>
      <w:bookmarkStart w:id="197" w:name="_Hlk24175192"/>
      <w:r w:rsidR="00C27818">
        <w:t>in respect of an entity, the occurrence of any circumstances or events following which the entity, who was not so controlled before, is controlled by another person, alone or together with any Related Body Corporate, and includes, in respect of the entity a change of a direct holding of at least fifteen percent of the voting shares in that entity or a holding company of that entity</w:t>
      </w:r>
      <w:bookmarkEnd w:id="197"/>
      <w:r w:rsidR="00A1009B">
        <w:t xml:space="preserve">. </w:t>
      </w:r>
    </w:p>
    <w:p w14:paraId="6C63DAB7" w14:textId="095F5B86" w:rsidR="008940C9" w:rsidRDefault="00033534" w:rsidP="00282424">
      <w:pPr>
        <w:pStyle w:val="BodyText"/>
      </w:pPr>
      <w:r w:rsidRPr="008940C9">
        <w:rPr>
          <w:b/>
        </w:rPr>
        <w:t>Commencement Date</w:t>
      </w:r>
      <w:r w:rsidRPr="008940C9">
        <w:t xml:space="preserve"> means</w:t>
      </w:r>
      <w:r w:rsidRPr="008940C9">
        <w:rPr>
          <w:b/>
        </w:rPr>
        <w:t xml:space="preserve"> </w:t>
      </w:r>
      <w:bookmarkStart w:id="198" w:name="_Hlk527112682"/>
      <w:r w:rsidR="00282424">
        <w:t xml:space="preserve">the relevant date specified in Item </w:t>
      </w:r>
      <w:r w:rsidR="00282424">
        <w:fldChar w:fldCharType="begin"/>
      </w:r>
      <w:r w:rsidR="00282424">
        <w:instrText xml:space="preserve"> REF _Ref11496938 \n \h </w:instrText>
      </w:r>
      <w:r w:rsidR="00282424">
        <w:fldChar w:fldCharType="separate"/>
      </w:r>
      <w:r w:rsidR="00082E91">
        <w:t>1</w:t>
      </w:r>
      <w:r w:rsidR="00282424">
        <w:fldChar w:fldCharType="end"/>
      </w:r>
      <w:r w:rsidR="00282424">
        <w:t xml:space="preserve"> of the Head Agreement D</w:t>
      </w:r>
      <w:r w:rsidR="0062242B">
        <w:t>e</w:t>
      </w:r>
      <w:r w:rsidR="00282424">
        <w:t>tails</w:t>
      </w:r>
      <w:r w:rsidR="00380DCC">
        <w:t>.</w:t>
      </w:r>
    </w:p>
    <w:p w14:paraId="4DCA8EB9" w14:textId="03873310" w:rsidR="00380DCC" w:rsidRPr="00965C2F" w:rsidRDefault="00380DCC" w:rsidP="00282424">
      <w:pPr>
        <w:pStyle w:val="BodyText"/>
        <w:rPr>
          <w:rFonts w:eastAsia="Century Gothic"/>
        </w:rPr>
      </w:pPr>
      <w:r>
        <w:rPr>
          <w:rFonts w:eastAsia="Century Gothic"/>
          <w:b/>
        </w:rPr>
        <w:t>Commercial Mediation Guidelines</w:t>
      </w:r>
      <w:r>
        <w:rPr>
          <w:rFonts w:eastAsia="Century Gothic"/>
        </w:rPr>
        <w:t xml:space="preserve"> means those guidelines with the same name published by the Australian Disputes Centre and which can be downloaded at </w:t>
      </w:r>
      <w:hyperlink r:id="rId21" w:history="1">
        <w:r w:rsidRPr="00885B95">
          <w:rPr>
            <w:rStyle w:val="Hyperlink"/>
            <w:rFonts w:eastAsia="Century Gothic" w:cs="Arial"/>
          </w:rPr>
          <w:t>https://www.disputescentre.com.au/commercial-mediation-guidelines-download-form/</w:t>
        </w:r>
      </w:hyperlink>
      <w:r>
        <w:rPr>
          <w:rFonts w:eastAsia="Century Gothic"/>
        </w:rPr>
        <w:t xml:space="preserve">. </w:t>
      </w:r>
    </w:p>
    <w:p w14:paraId="66564227" w14:textId="65FE34EB" w:rsidR="002B1B2C" w:rsidRDefault="00F759AC" w:rsidP="00282424">
      <w:pPr>
        <w:pStyle w:val="BodyText"/>
        <w:rPr>
          <w:rFonts w:eastAsia="Century Gothic"/>
        </w:rPr>
      </w:pPr>
      <w:bookmarkStart w:id="199" w:name="_Hlk21466057"/>
      <w:r>
        <w:rPr>
          <w:rFonts w:eastAsia="Century Gothic"/>
          <w:b/>
        </w:rPr>
        <w:t xml:space="preserve">Confidential Information </w:t>
      </w:r>
      <w:r w:rsidR="002B1B2C">
        <w:rPr>
          <w:rFonts w:eastAsia="Century Gothic"/>
        </w:rPr>
        <w:t>means information that:</w:t>
      </w:r>
    </w:p>
    <w:p w14:paraId="215A51BF" w14:textId="77777777" w:rsidR="002B1B2C" w:rsidRDefault="002B1B2C" w:rsidP="002B1B2C">
      <w:pPr>
        <w:pStyle w:val="Heading3"/>
        <w:numPr>
          <w:ilvl w:val="2"/>
          <w:numId w:val="47"/>
        </w:numPr>
        <w:rPr>
          <w:rFonts w:eastAsia="Century Gothic"/>
        </w:rPr>
      </w:pPr>
      <w:proofErr w:type="gramStart"/>
      <w:r>
        <w:rPr>
          <w:rFonts w:eastAsia="Century Gothic"/>
        </w:rPr>
        <w:t>is</w:t>
      </w:r>
      <w:proofErr w:type="gramEnd"/>
      <w:r>
        <w:rPr>
          <w:rFonts w:eastAsia="Century Gothic"/>
        </w:rPr>
        <w:t xml:space="preserve"> by its nature confidential;</w:t>
      </w:r>
    </w:p>
    <w:p w14:paraId="20959130" w14:textId="77777777" w:rsidR="002B1B2C" w:rsidRPr="002B1B2C" w:rsidRDefault="002B1B2C" w:rsidP="002B1B2C">
      <w:pPr>
        <w:pStyle w:val="Heading3"/>
        <w:numPr>
          <w:ilvl w:val="2"/>
          <w:numId w:val="48"/>
        </w:numPr>
        <w:rPr>
          <w:rFonts w:eastAsia="Century Gothic"/>
        </w:rPr>
      </w:pPr>
      <w:proofErr w:type="gramStart"/>
      <w:r w:rsidRPr="002B1B2C">
        <w:rPr>
          <w:rFonts w:eastAsia="Century Gothic"/>
        </w:rPr>
        <w:t>is</w:t>
      </w:r>
      <w:proofErr w:type="gramEnd"/>
      <w:r w:rsidRPr="002B1B2C">
        <w:rPr>
          <w:rFonts w:eastAsia="Century Gothic"/>
        </w:rPr>
        <w:t xml:space="preserve"> communicated by the Discloser to the Recipient as confidential;</w:t>
      </w:r>
    </w:p>
    <w:p w14:paraId="16B78C44" w14:textId="77777777" w:rsidR="002B1B2C" w:rsidRPr="002B1B2C" w:rsidRDefault="002B1B2C" w:rsidP="002B1B2C">
      <w:pPr>
        <w:pStyle w:val="Heading3"/>
        <w:numPr>
          <w:ilvl w:val="2"/>
          <w:numId w:val="48"/>
        </w:numPr>
        <w:rPr>
          <w:rFonts w:eastAsia="Century Gothic"/>
        </w:rPr>
      </w:pPr>
      <w:proofErr w:type="gramStart"/>
      <w:r w:rsidRPr="002B1B2C">
        <w:rPr>
          <w:rFonts w:eastAsia="Century Gothic"/>
        </w:rPr>
        <w:t>the</w:t>
      </w:r>
      <w:proofErr w:type="gramEnd"/>
      <w:r w:rsidRPr="002B1B2C">
        <w:rPr>
          <w:rFonts w:eastAsia="Century Gothic"/>
        </w:rPr>
        <w:t xml:space="preserve"> Recipient knows or ought to know is confidential; or</w:t>
      </w:r>
    </w:p>
    <w:p w14:paraId="22042DF3" w14:textId="77777777" w:rsidR="002B1B2C" w:rsidRPr="002B1B2C" w:rsidRDefault="002B1B2C" w:rsidP="002B1B2C">
      <w:pPr>
        <w:pStyle w:val="Heading3"/>
        <w:numPr>
          <w:ilvl w:val="2"/>
          <w:numId w:val="48"/>
        </w:numPr>
        <w:rPr>
          <w:rFonts w:eastAsia="Century Gothic"/>
        </w:rPr>
      </w:pPr>
      <w:proofErr w:type="gramStart"/>
      <w:r w:rsidRPr="002B1B2C">
        <w:rPr>
          <w:rFonts w:eastAsia="Century Gothic"/>
        </w:rPr>
        <w:t>relates</w:t>
      </w:r>
      <w:proofErr w:type="gramEnd"/>
      <w:r w:rsidRPr="002B1B2C">
        <w:rPr>
          <w:rFonts w:eastAsia="Century Gothic"/>
        </w:rPr>
        <w:t xml:space="preserve"> to or comprises:</w:t>
      </w:r>
    </w:p>
    <w:p w14:paraId="7531D037" w14:textId="77777777" w:rsidR="002B1B2C" w:rsidRDefault="002B1B2C" w:rsidP="002B1B2C">
      <w:pPr>
        <w:pStyle w:val="Heading4"/>
        <w:rPr>
          <w:rFonts w:eastAsia="Century Gothic"/>
        </w:rPr>
      </w:pPr>
      <w:proofErr w:type="spellStart"/>
      <w:r>
        <w:rPr>
          <w:rFonts w:eastAsia="Century Gothic"/>
        </w:rPr>
        <w:t>TfNSW</w:t>
      </w:r>
      <w:proofErr w:type="spellEnd"/>
      <w:r>
        <w:rPr>
          <w:rFonts w:eastAsia="Century Gothic"/>
        </w:rPr>
        <w:t xml:space="preserve"> Data;</w:t>
      </w:r>
    </w:p>
    <w:p w14:paraId="7F1C1BE4" w14:textId="77777777" w:rsidR="002B1B2C" w:rsidRDefault="002B1B2C" w:rsidP="002B1B2C">
      <w:pPr>
        <w:pStyle w:val="Heading4"/>
        <w:rPr>
          <w:rFonts w:eastAsia="Century Gothic"/>
        </w:rPr>
      </w:pPr>
      <w:proofErr w:type="gramStart"/>
      <w:r>
        <w:rPr>
          <w:rFonts w:eastAsia="Century Gothic"/>
        </w:rPr>
        <w:t>the</w:t>
      </w:r>
      <w:proofErr w:type="gramEnd"/>
      <w:r>
        <w:rPr>
          <w:rFonts w:eastAsia="Century Gothic"/>
        </w:rPr>
        <w:t xml:space="preserve"> Approved Digital Engineering Services;</w:t>
      </w:r>
    </w:p>
    <w:p w14:paraId="570F9E0A" w14:textId="2E8B49A0" w:rsidR="002B1B2C" w:rsidRDefault="002B1B2C" w:rsidP="002B1B2C">
      <w:pPr>
        <w:pStyle w:val="Heading4"/>
        <w:rPr>
          <w:rFonts w:eastAsia="Century Gothic"/>
        </w:rPr>
      </w:pPr>
      <w:proofErr w:type="gramStart"/>
      <w:r>
        <w:rPr>
          <w:rFonts w:eastAsia="Century Gothic"/>
        </w:rPr>
        <w:t>the</w:t>
      </w:r>
      <w:proofErr w:type="gramEnd"/>
      <w:r>
        <w:rPr>
          <w:rFonts w:eastAsia="Century Gothic"/>
        </w:rPr>
        <w:t xml:space="preserve"> financial, corporate and </w:t>
      </w:r>
      <w:r w:rsidR="00691F18">
        <w:rPr>
          <w:rFonts w:eastAsia="Century Gothic"/>
        </w:rPr>
        <w:t>commercial</w:t>
      </w:r>
      <w:r>
        <w:rPr>
          <w:rFonts w:eastAsia="Century Gothic"/>
        </w:rPr>
        <w:t xml:space="preserve"> information of any party;</w:t>
      </w:r>
    </w:p>
    <w:p w14:paraId="474433CD" w14:textId="77777777" w:rsidR="002B1B2C" w:rsidRDefault="002B1B2C" w:rsidP="002B1B2C">
      <w:pPr>
        <w:pStyle w:val="Heading4"/>
        <w:rPr>
          <w:rFonts w:eastAsia="Century Gothic"/>
        </w:rPr>
      </w:pPr>
      <w:proofErr w:type="gramStart"/>
      <w:r>
        <w:rPr>
          <w:rFonts w:eastAsia="Century Gothic"/>
        </w:rPr>
        <w:t>the</w:t>
      </w:r>
      <w:proofErr w:type="gramEnd"/>
      <w:r>
        <w:rPr>
          <w:rFonts w:eastAsia="Century Gothic"/>
        </w:rPr>
        <w:t xml:space="preserve"> affairs of a third party (provided the information is non-public); or</w:t>
      </w:r>
    </w:p>
    <w:p w14:paraId="296BC797" w14:textId="49CF9D99" w:rsidR="002B1B2C" w:rsidRDefault="002B1B2C" w:rsidP="002B1B2C">
      <w:pPr>
        <w:pStyle w:val="Heading4"/>
        <w:rPr>
          <w:rFonts w:eastAsia="Century Gothic"/>
        </w:rPr>
      </w:pPr>
      <w:proofErr w:type="gramStart"/>
      <w:r>
        <w:rPr>
          <w:rFonts w:eastAsia="Century Gothic"/>
        </w:rPr>
        <w:t>the</w:t>
      </w:r>
      <w:proofErr w:type="gramEnd"/>
      <w:r>
        <w:rPr>
          <w:rFonts w:eastAsia="Century Gothic"/>
        </w:rPr>
        <w:t xml:space="preserve"> strategies, practices and procedures of the State and any information the Supplier’s possession relating to a</w:t>
      </w:r>
      <w:r w:rsidR="00BF620F">
        <w:rPr>
          <w:rFonts w:eastAsia="Century Gothic"/>
        </w:rPr>
        <w:t>n Eligible Customer</w:t>
      </w:r>
      <w:r>
        <w:rPr>
          <w:rFonts w:eastAsia="Century Gothic"/>
        </w:rPr>
        <w:t>,</w:t>
      </w:r>
    </w:p>
    <w:p w14:paraId="05640482" w14:textId="77777777" w:rsidR="002B1B2C" w:rsidRDefault="002B1B2C" w:rsidP="002B1B2C">
      <w:pPr>
        <w:pStyle w:val="BodyText"/>
        <w:rPr>
          <w:rFonts w:eastAsia="Century Gothic"/>
        </w:rPr>
      </w:pPr>
      <w:proofErr w:type="gramStart"/>
      <w:r>
        <w:rPr>
          <w:rFonts w:eastAsia="Century Gothic"/>
        </w:rPr>
        <w:t>but</w:t>
      </w:r>
      <w:proofErr w:type="gramEnd"/>
      <w:r>
        <w:rPr>
          <w:rFonts w:eastAsia="Century Gothic"/>
        </w:rPr>
        <w:t xml:space="preserve"> excludes information:</w:t>
      </w:r>
    </w:p>
    <w:p w14:paraId="630EA1A5" w14:textId="77777777" w:rsidR="002B1B2C" w:rsidRDefault="002B1B2C" w:rsidP="002B1B2C">
      <w:pPr>
        <w:pStyle w:val="Heading3"/>
        <w:rPr>
          <w:rFonts w:eastAsia="Century Gothic"/>
        </w:rPr>
      </w:pPr>
      <w:proofErr w:type="gramStart"/>
      <w:r>
        <w:rPr>
          <w:rFonts w:eastAsia="Century Gothic"/>
        </w:rPr>
        <w:lastRenderedPageBreak/>
        <w:t>in</w:t>
      </w:r>
      <w:proofErr w:type="gramEnd"/>
      <w:r>
        <w:rPr>
          <w:rFonts w:eastAsia="Century Gothic"/>
        </w:rPr>
        <w:t xml:space="preserve"> the public domain, unless it came into the public domain due to a breach of confidentiality;</w:t>
      </w:r>
    </w:p>
    <w:p w14:paraId="69BA99F2" w14:textId="77777777" w:rsidR="002B1B2C" w:rsidRDefault="002B1B2C" w:rsidP="002B1B2C">
      <w:pPr>
        <w:pStyle w:val="Heading3"/>
        <w:rPr>
          <w:rFonts w:eastAsia="Century Gothic"/>
        </w:rPr>
      </w:pPr>
      <w:proofErr w:type="gramStart"/>
      <w:r>
        <w:rPr>
          <w:rFonts w:eastAsia="Century Gothic"/>
        </w:rPr>
        <w:t>independently</w:t>
      </w:r>
      <w:proofErr w:type="gramEnd"/>
      <w:r>
        <w:rPr>
          <w:rFonts w:eastAsia="Century Gothic"/>
        </w:rPr>
        <w:t xml:space="preserve"> developed by the Recipient; or</w:t>
      </w:r>
    </w:p>
    <w:p w14:paraId="6ED22CF1" w14:textId="382D8485" w:rsidR="00F759AC" w:rsidRPr="002B1B2C" w:rsidRDefault="002B1B2C" w:rsidP="002B1B2C">
      <w:pPr>
        <w:pStyle w:val="Heading3"/>
        <w:rPr>
          <w:rFonts w:eastAsia="Century Gothic"/>
        </w:rPr>
      </w:pPr>
      <w:proofErr w:type="gramStart"/>
      <w:r>
        <w:rPr>
          <w:rFonts w:eastAsia="Century Gothic"/>
        </w:rPr>
        <w:t>in</w:t>
      </w:r>
      <w:proofErr w:type="gramEnd"/>
      <w:r>
        <w:rPr>
          <w:rFonts w:eastAsia="Century Gothic"/>
        </w:rPr>
        <w:t xml:space="preserve"> the possession of the Recipient without breach of confidentiality by the Recipient or other person</w:t>
      </w:r>
      <w:r w:rsidR="00F759AC" w:rsidRPr="002B1B2C">
        <w:rPr>
          <w:rFonts w:eastAsia="Century Gothic"/>
        </w:rPr>
        <w:t xml:space="preserve">.  </w:t>
      </w:r>
    </w:p>
    <w:bookmarkEnd w:id="199"/>
    <w:p w14:paraId="1012FC4F" w14:textId="644117AD" w:rsidR="00B27508" w:rsidRDefault="00127122" w:rsidP="00282424">
      <w:pPr>
        <w:pStyle w:val="BodyText"/>
      </w:pPr>
      <w:r>
        <w:rPr>
          <w:rFonts w:eastAsia="Century Gothic"/>
          <w:b/>
        </w:rPr>
        <w:t xml:space="preserve">Conflict of Interest </w:t>
      </w:r>
      <w:r w:rsidR="00282424">
        <w:rPr>
          <w:rFonts w:eastAsia="Century Gothic"/>
        </w:rPr>
        <w:t>means</w:t>
      </w:r>
      <w:r>
        <w:rPr>
          <w:rFonts w:eastAsia="Century Gothic"/>
        </w:rPr>
        <w:t xml:space="preserve"> </w:t>
      </w:r>
      <w:r w:rsidR="00685091">
        <w:t xml:space="preserve">the </w:t>
      </w:r>
      <w:r w:rsidR="00D82BC0">
        <w:t>Supplier</w:t>
      </w:r>
      <w:r w:rsidR="00B27508">
        <w:t>:</w:t>
      </w:r>
    </w:p>
    <w:p w14:paraId="436625C3" w14:textId="77777777" w:rsidR="00B27508" w:rsidRDefault="00B27508" w:rsidP="00F679F9">
      <w:pPr>
        <w:pStyle w:val="Heading3"/>
        <w:numPr>
          <w:ilvl w:val="2"/>
          <w:numId w:val="12"/>
        </w:numPr>
      </w:pPr>
      <w:proofErr w:type="gramStart"/>
      <w:r>
        <w:t>engaging</w:t>
      </w:r>
      <w:proofErr w:type="gramEnd"/>
      <w:r>
        <w:t xml:space="preserve"> in any activity;</w:t>
      </w:r>
      <w:r w:rsidR="00685091">
        <w:t xml:space="preserve"> </w:t>
      </w:r>
    </w:p>
    <w:p w14:paraId="40C3731F" w14:textId="77777777" w:rsidR="00B27508" w:rsidRDefault="00685091" w:rsidP="00F679F9">
      <w:pPr>
        <w:pStyle w:val="Heading3"/>
        <w:numPr>
          <w:ilvl w:val="2"/>
          <w:numId w:val="12"/>
        </w:numPr>
      </w:pPr>
      <w:proofErr w:type="gramStart"/>
      <w:r>
        <w:t>obtaining</w:t>
      </w:r>
      <w:proofErr w:type="gramEnd"/>
      <w:r>
        <w:t xml:space="preserve"> any interest, whet</w:t>
      </w:r>
      <w:r w:rsidR="00B27508">
        <w:t>her pecuniary or non-pecuniary; or</w:t>
      </w:r>
    </w:p>
    <w:p w14:paraId="25243877" w14:textId="77777777" w:rsidR="00B27508" w:rsidRDefault="00B27508" w:rsidP="00F679F9">
      <w:pPr>
        <w:pStyle w:val="Heading3"/>
        <w:numPr>
          <w:ilvl w:val="2"/>
          <w:numId w:val="12"/>
        </w:numPr>
      </w:pPr>
      <w:proofErr w:type="gramStart"/>
      <w:r>
        <w:t>being</w:t>
      </w:r>
      <w:proofErr w:type="gramEnd"/>
      <w:r>
        <w:t xml:space="preserve"> involved in any actual or threatened litigation or investigation,</w:t>
      </w:r>
    </w:p>
    <w:p w14:paraId="7996FCA7" w14:textId="30362ECD" w:rsidR="00127122" w:rsidRPr="00965C2F" w:rsidRDefault="00B27508" w:rsidP="00282424">
      <w:pPr>
        <w:pStyle w:val="BodyText"/>
        <w:rPr>
          <w:rFonts w:eastAsia="Century Gothic" w:cs="Arial"/>
        </w:rPr>
      </w:pPr>
      <w:proofErr w:type="gramStart"/>
      <w:r>
        <w:t>whether</w:t>
      </w:r>
      <w:proofErr w:type="gramEnd"/>
      <w:r>
        <w:t xml:space="preserve"> proven or alleged, </w:t>
      </w:r>
      <w:r w:rsidR="00685091">
        <w:t xml:space="preserve">which is likely to, has the potential to, or could be perceived to, restrict the </w:t>
      </w:r>
      <w:r w:rsidR="00D82BC0">
        <w:t>Supplier</w:t>
      </w:r>
      <w:r w:rsidR="00685091">
        <w:t xml:space="preserve"> from performing its obligations under the </w:t>
      </w:r>
      <w:r w:rsidR="00DE5082">
        <w:t>Scheme</w:t>
      </w:r>
      <w:r w:rsidR="00127122">
        <w:rPr>
          <w:rFonts w:eastAsia="Century Gothic" w:cs="Arial"/>
        </w:rPr>
        <w:t>.</w:t>
      </w:r>
    </w:p>
    <w:bookmarkEnd w:id="198"/>
    <w:p w14:paraId="5755F187" w14:textId="293BCFBF" w:rsidR="006300FE" w:rsidRPr="006300FE" w:rsidRDefault="006300FE" w:rsidP="00282424">
      <w:pPr>
        <w:pStyle w:val="BodyText"/>
        <w:rPr>
          <w:rFonts w:eastAsia="Century Gothic"/>
        </w:rPr>
      </w:pPr>
      <w:r>
        <w:rPr>
          <w:rFonts w:eastAsia="Century Gothic"/>
          <w:b/>
        </w:rPr>
        <w:t>Corporations Act</w:t>
      </w:r>
      <w:r>
        <w:rPr>
          <w:rFonts w:eastAsia="Century Gothic"/>
        </w:rPr>
        <w:t xml:space="preserve"> means the </w:t>
      </w:r>
      <w:r>
        <w:rPr>
          <w:rFonts w:eastAsia="Century Gothic"/>
          <w:i/>
        </w:rPr>
        <w:t xml:space="preserve">Corporations Act 2001 </w:t>
      </w:r>
      <w:r>
        <w:rPr>
          <w:rFonts w:eastAsia="Century Gothic"/>
        </w:rPr>
        <w:t>(</w:t>
      </w:r>
      <w:proofErr w:type="spellStart"/>
      <w:r>
        <w:rPr>
          <w:rFonts w:eastAsia="Century Gothic"/>
        </w:rPr>
        <w:t>Cth</w:t>
      </w:r>
      <w:proofErr w:type="spellEnd"/>
      <w:r>
        <w:rPr>
          <w:rFonts w:eastAsia="Century Gothic"/>
        </w:rPr>
        <w:t>).</w:t>
      </w:r>
    </w:p>
    <w:p w14:paraId="0F92B391" w14:textId="59EC3FBC" w:rsidR="00442A17" w:rsidRPr="00442A17" w:rsidRDefault="00442A17" w:rsidP="00282424">
      <w:pPr>
        <w:pStyle w:val="BodyText"/>
        <w:rPr>
          <w:rFonts w:eastAsia="Century Gothic"/>
          <w:b/>
          <w:i/>
        </w:rPr>
      </w:pPr>
      <w:r>
        <w:rPr>
          <w:rFonts w:eastAsia="Century Gothic"/>
          <w:b/>
        </w:rPr>
        <w:t xml:space="preserve">CPI </w:t>
      </w:r>
      <w:r>
        <w:rPr>
          <w:rFonts w:eastAsia="Century Gothic"/>
        </w:rPr>
        <w:t xml:space="preserve">means </w:t>
      </w:r>
      <w:r w:rsidRPr="006530BB">
        <w:rPr>
          <w:rFonts w:cs="Arial"/>
        </w:rPr>
        <w:t>the Australian consumer price index (CPI) "weighted average of 8 capital cities" for the previous 12 months as published by the Australian Bureau of Statistics, during the quarter immediatel</w:t>
      </w:r>
      <w:r w:rsidRPr="006530BB">
        <w:rPr>
          <w:rFonts w:cs="Arial"/>
          <w:iCs/>
        </w:rPr>
        <w:t xml:space="preserve">y preceding the </w:t>
      </w:r>
      <w:r>
        <w:rPr>
          <w:rFonts w:cs="Arial"/>
          <w:iCs/>
        </w:rPr>
        <w:t xml:space="preserve">notice of </w:t>
      </w:r>
      <w:r w:rsidRPr="006530BB">
        <w:rPr>
          <w:rFonts w:cs="Arial"/>
          <w:iCs/>
        </w:rPr>
        <w:t>adjustment</w:t>
      </w:r>
      <w:r>
        <w:rPr>
          <w:rFonts w:cs="Arial"/>
          <w:iCs/>
        </w:rPr>
        <w:t xml:space="preserve">. </w:t>
      </w:r>
    </w:p>
    <w:p w14:paraId="18AACBFF" w14:textId="405FEEBD" w:rsidR="001C6625" w:rsidRDefault="001C6625" w:rsidP="00282424">
      <w:pPr>
        <w:pStyle w:val="BodyText"/>
        <w:rPr>
          <w:rFonts w:eastAsia="Century Gothic"/>
        </w:rPr>
      </w:pPr>
      <w:r>
        <w:rPr>
          <w:rFonts w:eastAsia="Century Gothic"/>
          <w:b/>
        </w:rPr>
        <w:t>Customer</w:t>
      </w:r>
      <w:r>
        <w:rPr>
          <w:rFonts w:eastAsia="Century Gothic"/>
        </w:rPr>
        <w:t xml:space="preserve"> means </w:t>
      </w:r>
      <w:r w:rsidR="00282424">
        <w:rPr>
          <w:rFonts w:eastAsia="Century Gothic"/>
        </w:rPr>
        <w:t xml:space="preserve">each </w:t>
      </w:r>
      <w:r w:rsidR="004202A4">
        <w:rPr>
          <w:rFonts w:eastAsia="Century Gothic"/>
        </w:rPr>
        <w:t>Eligible Customer</w:t>
      </w:r>
      <w:r w:rsidR="00282424">
        <w:rPr>
          <w:rFonts w:eastAsia="Century Gothic"/>
        </w:rPr>
        <w:t xml:space="preserve"> that is a party to a </w:t>
      </w:r>
      <w:r>
        <w:rPr>
          <w:rFonts w:eastAsia="Century Gothic"/>
        </w:rPr>
        <w:t xml:space="preserve">Customer Contract with the </w:t>
      </w:r>
      <w:r w:rsidR="00D82BC0">
        <w:rPr>
          <w:rFonts w:eastAsia="Century Gothic"/>
        </w:rPr>
        <w:t>Supplier</w:t>
      </w:r>
      <w:r w:rsidR="006300FE">
        <w:rPr>
          <w:rFonts w:eastAsia="Century Gothic"/>
        </w:rPr>
        <w:t>, and named as such in the “Parties” section of the relevant Customer Contract</w:t>
      </w:r>
      <w:r w:rsidR="00C27818">
        <w:rPr>
          <w:rFonts w:eastAsia="Century Gothic"/>
        </w:rPr>
        <w:t xml:space="preserve"> Details</w:t>
      </w:r>
      <w:r>
        <w:rPr>
          <w:rFonts w:eastAsia="Century Gothic"/>
        </w:rPr>
        <w:t xml:space="preserve">. </w:t>
      </w:r>
    </w:p>
    <w:p w14:paraId="6B60B4E0" w14:textId="79997822" w:rsidR="00821FC3" w:rsidRPr="00965C2F" w:rsidRDefault="00821FC3" w:rsidP="00282424">
      <w:pPr>
        <w:pStyle w:val="BodyText"/>
        <w:rPr>
          <w:rFonts w:eastAsia="Century Gothic"/>
        </w:rPr>
      </w:pPr>
      <w:r>
        <w:rPr>
          <w:rFonts w:eastAsia="Century Gothic"/>
          <w:b/>
        </w:rPr>
        <w:t>Customer Contract</w:t>
      </w:r>
      <w:r>
        <w:rPr>
          <w:rFonts w:eastAsia="Century Gothic"/>
        </w:rPr>
        <w:t xml:space="preserve"> means </w:t>
      </w:r>
      <w:r w:rsidR="00B971EE">
        <w:rPr>
          <w:rFonts w:eastAsia="Century Gothic"/>
        </w:rPr>
        <w:t xml:space="preserve">an agreement between the </w:t>
      </w:r>
      <w:r w:rsidR="00D82BC0">
        <w:rPr>
          <w:rFonts w:eastAsia="Century Gothic"/>
        </w:rPr>
        <w:t>Supplier</w:t>
      </w:r>
      <w:r w:rsidR="00B971EE">
        <w:rPr>
          <w:rFonts w:eastAsia="Century Gothic"/>
        </w:rPr>
        <w:t xml:space="preserve"> and </w:t>
      </w:r>
      <w:r w:rsidR="00C27818">
        <w:rPr>
          <w:rFonts w:eastAsia="Century Gothic"/>
        </w:rPr>
        <w:t xml:space="preserve">an Eligible </w:t>
      </w:r>
      <w:r w:rsidR="00B971EE">
        <w:rPr>
          <w:rFonts w:eastAsia="Century Gothic"/>
        </w:rPr>
        <w:t>Customer</w:t>
      </w:r>
      <w:r w:rsidR="00282424">
        <w:rPr>
          <w:rFonts w:eastAsia="Century Gothic"/>
        </w:rPr>
        <w:t xml:space="preserve">, entered into pursuant to this </w:t>
      </w:r>
      <w:r w:rsidR="00CF042A">
        <w:rPr>
          <w:rFonts w:eastAsia="Century Gothic"/>
        </w:rPr>
        <w:t xml:space="preserve">Head Agreement, as described in clause </w:t>
      </w:r>
      <w:r w:rsidR="00CF042A">
        <w:rPr>
          <w:rFonts w:eastAsia="Century Gothic"/>
        </w:rPr>
        <w:fldChar w:fldCharType="begin"/>
      </w:r>
      <w:r w:rsidR="00CF042A">
        <w:rPr>
          <w:rFonts w:eastAsia="Century Gothic"/>
        </w:rPr>
        <w:instrText xml:space="preserve"> REF _Ref11497135 \n \h </w:instrText>
      </w:r>
      <w:r w:rsidR="00CF042A">
        <w:rPr>
          <w:rFonts w:eastAsia="Century Gothic"/>
        </w:rPr>
      </w:r>
      <w:r w:rsidR="00CF042A">
        <w:rPr>
          <w:rFonts w:eastAsia="Century Gothic"/>
        </w:rPr>
        <w:fldChar w:fldCharType="separate"/>
      </w:r>
      <w:r w:rsidR="00082E91">
        <w:rPr>
          <w:rFonts w:eastAsia="Century Gothic"/>
        </w:rPr>
        <w:t>3</w:t>
      </w:r>
      <w:r w:rsidR="00CF042A">
        <w:rPr>
          <w:rFonts w:eastAsia="Century Gothic"/>
        </w:rPr>
        <w:fldChar w:fldCharType="end"/>
      </w:r>
      <w:r w:rsidR="00CF042A">
        <w:rPr>
          <w:rFonts w:eastAsia="Century Gothic"/>
        </w:rPr>
        <w:t>.</w:t>
      </w:r>
      <w:r w:rsidR="00B971EE">
        <w:rPr>
          <w:rFonts w:eastAsia="Century Gothic"/>
        </w:rPr>
        <w:t xml:space="preserve"> </w:t>
      </w:r>
    </w:p>
    <w:p w14:paraId="7807DAE6" w14:textId="533C4E02" w:rsidR="008D06E5" w:rsidRPr="00965C2F" w:rsidRDefault="008D06E5" w:rsidP="00CF042A">
      <w:pPr>
        <w:pStyle w:val="BodyText"/>
        <w:rPr>
          <w:rFonts w:eastAsia="Century Gothic"/>
        </w:rPr>
      </w:pPr>
      <w:r>
        <w:rPr>
          <w:rFonts w:eastAsia="Century Gothic"/>
          <w:b/>
        </w:rPr>
        <w:t>Customer Contract Details</w:t>
      </w:r>
      <w:r>
        <w:rPr>
          <w:rFonts w:eastAsia="Century Gothic"/>
        </w:rPr>
        <w:t xml:space="preserve"> means </w:t>
      </w:r>
      <w:r w:rsidR="00C27818">
        <w:rPr>
          <w:rFonts w:eastAsia="Century Gothic"/>
        </w:rPr>
        <w:t xml:space="preserve">the </w:t>
      </w:r>
      <w:r>
        <w:rPr>
          <w:rFonts w:eastAsia="Century Gothic"/>
        </w:rPr>
        <w:t>section of the Customer Contract</w:t>
      </w:r>
      <w:r w:rsidR="00CF042A">
        <w:rPr>
          <w:rFonts w:eastAsia="Century Gothic"/>
        </w:rPr>
        <w:t xml:space="preserve"> titled </w:t>
      </w:r>
      <w:r w:rsidR="003467D1">
        <w:rPr>
          <w:rFonts w:eastAsia="Century Gothic"/>
        </w:rPr>
        <w:t>“</w:t>
      </w:r>
      <w:r w:rsidR="00CF042A">
        <w:rPr>
          <w:rFonts w:eastAsia="Century Gothic"/>
        </w:rPr>
        <w:t>Customer Contract Details</w:t>
      </w:r>
      <w:r w:rsidR="003467D1">
        <w:rPr>
          <w:rFonts w:eastAsia="Century Gothic"/>
        </w:rPr>
        <w:t>”</w:t>
      </w:r>
      <w:r>
        <w:rPr>
          <w:rFonts w:eastAsia="Century Gothic"/>
        </w:rPr>
        <w:t xml:space="preserve">. </w:t>
      </w:r>
    </w:p>
    <w:p w14:paraId="3CDB0F07" w14:textId="5DAEEE36" w:rsidR="002B1B2C" w:rsidRPr="00CD2C8F" w:rsidRDefault="002B1B2C" w:rsidP="002B1B2C">
      <w:pPr>
        <w:pStyle w:val="BodyText"/>
      </w:pPr>
      <w:bookmarkStart w:id="200" w:name="_Hlk24175755"/>
      <w:r>
        <w:rPr>
          <w:b/>
        </w:rPr>
        <w:t xml:space="preserve">Daily Rate </w:t>
      </w:r>
      <w:r>
        <w:t xml:space="preserve">means </w:t>
      </w:r>
      <w:r w:rsidRPr="00B9384A">
        <w:rPr>
          <w:rFonts w:cs="Arial"/>
          <w:iCs/>
        </w:rPr>
        <w:t xml:space="preserve">the rate </w:t>
      </w:r>
      <w:r w:rsidR="00C27818">
        <w:rPr>
          <w:rFonts w:cs="Arial"/>
          <w:iCs/>
        </w:rPr>
        <w:t>payable by the Customer</w:t>
      </w:r>
      <w:r w:rsidR="00C27818" w:rsidRPr="00B9384A">
        <w:rPr>
          <w:rFonts w:cs="Arial"/>
          <w:iCs/>
        </w:rPr>
        <w:t xml:space="preserve"> </w:t>
      </w:r>
      <w:r w:rsidR="00C27818">
        <w:rPr>
          <w:rFonts w:cs="Arial"/>
          <w:iCs/>
        </w:rPr>
        <w:t>for each day that an individual from the Supplier performs Approved Digital Engineering Services on behalf of a Customer</w:t>
      </w:r>
      <w:r>
        <w:rPr>
          <w:rFonts w:cs="Arial"/>
          <w:iCs/>
        </w:rPr>
        <w:t>.</w:t>
      </w:r>
    </w:p>
    <w:p w14:paraId="445A62F8" w14:textId="15B96ECD" w:rsidR="00141391" w:rsidRDefault="00141391" w:rsidP="00141391">
      <w:pPr>
        <w:pStyle w:val="Heading3"/>
        <w:numPr>
          <w:ilvl w:val="0"/>
          <w:numId w:val="0"/>
        </w:numPr>
        <w:ind w:left="1134"/>
        <w:rPr>
          <w:rFonts w:cs="Arial"/>
        </w:rPr>
      </w:pPr>
      <w:bookmarkStart w:id="201" w:name="_Hlk24175831"/>
      <w:bookmarkEnd w:id="200"/>
      <w:r>
        <w:rPr>
          <w:rFonts w:eastAsia="Century Gothic" w:cs="Arial"/>
          <w:b/>
        </w:rPr>
        <w:t xml:space="preserve">Digital Engineering Service </w:t>
      </w:r>
      <w:r w:rsidRPr="00FB2558">
        <w:rPr>
          <w:rFonts w:eastAsia="Century Gothic" w:cs="Arial"/>
        </w:rPr>
        <w:t>means</w:t>
      </w:r>
      <w:r>
        <w:rPr>
          <w:rFonts w:eastAsia="Century Gothic" w:cs="Arial"/>
          <w:b/>
        </w:rPr>
        <w:t xml:space="preserve"> </w:t>
      </w:r>
      <w:r>
        <w:rPr>
          <w:rFonts w:eastAsia="Century Gothic" w:cs="Arial"/>
        </w:rPr>
        <w:t>a</w:t>
      </w:r>
      <w:r w:rsidRPr="00A00775">
        <w:rPr>
          <w:rFonts w:eastAsia="Century Gothic" w:cs="Arial"/>
        </w:rPr>
        <w:t xml:space="preserve"> </w:t>
      </w:r>
      <w:r>
        <w:rPr>
          <w:rFonts w:eastAsia="Century Gothic" w:cs="Arial"/>
        </w:rPr>
        <w:t>service</w:t>
      </w:r>
      <w:r w:rsidRPr="00A00775">
        <w:rPr>
          <w:rFonts w:eastAsia="Century Gothic" w:cs="Arial"/>
        </w:rPr>
        <w:t xml:space="preserve"> </w:t>
      </w:r>
      <w:r>
        <w:rPr>
          <w:rFonts w:eastAsia="Century Gothic" w:cs="Arial"/>
        </w:rPr>
        <w:t xml:space="preserve">covered by the Scheme, as </w:t>
      </w:r>
      <w:r w:rsidRPr="00A00775">
        <w:rPr>
          <w:rFonts w:eastAsia="Century Gothic" w:cs="Arial"/>
        </w:rPr>
        <w:t xml:space="preserve">listed in </w:t>
      </w:r>
      <w:r>
        <w:rPr>
          <w:rFonts w:eastAsia="Century Gothic" w:cs="Arial"/>
        </w:rPr>
        <w:t>the Service Menu</w:t>
      </w:r>
      <w:r>
        <w:rPr>
          <w:rFonts w:cs="Arial"/>
        </w:rPr>
        <w:t xml:space="preserve">. </w:t>
      </w:r>
    </w:p>
    <w:bookmarkEnd w:id="201"/>
    <w:p w14:paraId="37E640F3" w14:textId="6DCF5B2D" w:rsidR="00074C20" w:rsidRPr="00965C2F" w:rsidRDefault="00074C20" w:rsidP="00CF042A">
      <w:pPr>
        <w:pStyle w:val="BodyText"/>
        <w:rPr>
          <w:color w:val="000000" w:themeColor="text1"/>
          <w:szCs w:val="22"/>
        </w:rPr>
      </w:pPr>
      <w:r>
        <w:rPr>
          <w:b/>
          <w:color w:val="000000" w:themeColor="text1"/>
          <w:szCs w:val="22"/>
        </w:rPr>
        <w:t xml:space="preserve">Discloser </w:t>
      </w:r>
      <w:r>
        <w:rPr>
          <w:color w:val="000000" w:themeColor="text1"/>
          <w:szCs w:val="22"/>
        </w:rPr>
        <w:t xml:space="preserve">has the meaning given in clause </w:t>
      </w:r>
      <w:r>
        <w:rPr>
          <w:color w:val="000000" w:themeColor="text1"/>
          <w:szCs w:val="22"/>
        </w:rPr>
        <w:fldChar w:fldCharType="begin"/>
      </w:r>
      <w:r>
        <w:rPr>
          <w:color w:val="000000" w:themeColor="text1"/>
          <w:szCs w:val="22"/>
        </w:rPr>
        <w:instrText xml:space="preserve"> REF _Ref10666377 \r \h </w:instrText>
      </w:r>
      <w:r>
        <w:rPr>
          <w:color w:val="000000" w:themeColor="text1"/>
          <w:szCs w:val="22"/>
        </w:rPr>
      </w:r>
      <w:r>
        <w:rPr>
          <w:color w:val="000000" w:themeColor="text1"/>
          <w:szCs w:val="22"/>
        </w:rPr>
        <w:fldChar w:fldCharType="separate"/>
      </w:r>
      <w:r w:rsidR="00082E91">
        <w:rPr>
          <w:color w:val="000000" w:themeColor="text1"/>
          <w:szCs w:val="22"/>
        </w:rPr>
        <w:t>8</w:t>
      </w:r>
      <w:r>
        <w:rPr>
          <w:color w:val="000000" w:themeColor="text1"/>
          <w:szCs w:val="22"/>
        </w:rPr>
        <w:fldChar w:fldCharType="end"/>
      </w:r>
      <w:r>
        <w:rPr>
          <w:color w:val="000000" w:themeColor="text1"/>
          <w:szCs w:val="22"/>
        </w:rPr>
        <w:t xml:space="preserve">.  </w:t>
      </w:r>
    </w:p>
    <w:p w14:paraId="285AF108" w14:textId="1276CC49" w:rsidR="004202A4" w:rsidRPr="004202A4" w:rsidRDefault="004202A4" w:rsidP="00CF042A">
      <w:pPr>
        <w:pStyle w:val="BodyText"/>
        <w:rPr>
          <w:rFonts w:eastAsia="Century Gothic"/>
        </w:rPr>
      </w:pPr>
      <w:r>
        <w:rPr>
          <w:rFonts w:eastAsia="Century Gothic"/>
          <w:b/>
        </w:rPr>
        <w:t>Dispute Notice</w:t>
      </w:r>
      <w:r>
        <w:rPr>
          <w:rFonts w:eastAsia="Century Gothic"/>
        </w:rPr>
        <w:t xml:space="preserve"> has the meaning given in clause </w:t>
      </w:r>
      <w:r>
        <w:rPr>
          <w:rFonts w:eastAsia="Century Gothic"/>
        </w:rPr>
        <w:fldChar w:fldCharType="begin"/>
      </w:r>
      <w:r>
        <w:rPr>
          <w:rFonts w:eastAsia="Century Gothic"/>
        </w:rPr>
        <w:instrText xml:space="preserve"> REF _Ref21436454 \w \h </w:instrText>
      </w:r>
      <w:r>
        <w:rPr>
          <w:rFonts w:eastAsia="Century Gothic"/>
        </w:rPr>
      </w:r>
      <w:r>
        <w:rPr>
          <w:rFonts w:eastAsia="Century Gothic"/>
        </w:rPr>
        <w:fldChar w:fldCharType="separate"/>
      </w:r>
      <w:r w:rsidR="00082E91">
        <w:rPr>
          <w:rFonts w:eastAsia="Century Gothic"/>
        </w:rPr>
        <w:t>14.1</w:t>
      </w:r>
      <w:r>
        <w:rPr>
          <w:rFonts w:eastAsia="Century Gothic"/>
        </w:rPr>
        <w:fldChar w:fldCharType="end"/>
      </w:r>
      <w:r>
        <w:rPr>
          <w:rFonts w:eastAsia="Century Gothic"/>
        </w:rPr>
        <w:t>.</w:t>
      </w:r>
    </w:p>
    <w:p w14:paraId="17566912" w14:textId="1A338ABC" w:rsidR="006563E8" w:rsidRPr="00CA109C" w:rsidRDefault="004202A4" w:rsidP="00CF042A">
      <w:pPr>
        <w:pStyle w:val="BodyText"/>
        <w:rPr>
          <w:rFonts w:eastAsia="Century Gothic"/>
        </w:rPr>
      </w:pPr>
      <w:r>
        <w:rPr>
          <w:rFonts w:eastAsia="Century Gothic"/>
          <w:b/>
        </w:rPr>
        <w:t>Eligible Customer</w:t>
      </w:r>
      <w:r w:rsidR="006563E8">
        <w:rPr>
          <w:rFonts w:eastAsia="Century Gothic"/>
        </w:rPr>
        <w:t xml:space="preserve"> means any Government Agency </w:t>
      </w:r>
      <w:r w:rsidR="00CF042A">
        <w:rPr>
          <w:rFonts w:eastAsia="Century Gothic"/>
        </w:rPr>
        <w:t>or Eligible non-Government Body</w:t>
      </w:r>
      <w:r w:rsidR="006563E8">
        <w:rPr>
          <w:rFonts w:eastAsia="Century Gothic"/>
        </w:rPr>
        <w:t xml:space="preserve">. </w:t>
      </w:r>
    </w:p>
    <w:p w14:paraId="69099341" w14:textId="3282000A" w:rsidR="00CF042A" w:rsidRPr="00CF042A" w:rsidRDefault="00CF042A" w:rsidP="00CF042A">
      <w:pPr>
        <w:pStyle w:val="BodyText"/>
      </w:pPr>
      <w:r w:rsidRPr="00CF042A">
        <w:rPr>
          <w:b/>
        </w:rPr>
        <w:t>Eligible non-Government Body</w:t>
      </w:r>
      <w:r w:rsidRPr="00CF042A">
        <w:t xml:space="preserve"> </w:t>
      </w:r>
      <w:bookmarkStart w:id="202" w:name="_Hlk24175928"/>
      <w:r w:rsidRPr="00CF042A">
        <w:t xml:space="preserve">means the following bodies </w:t>
      </w:r>
      <w:r w:rsidR="00C27818">
        <w:t xml:space="preserve">that are not Government Agencies </w:t>
      </w:r>
      <w:r w:rsidRPr="00CF042A">
        <w:t xml:space="preserve">(as identified under the </w:t>
      </w:r>
      <w:r w:rsidRPr="00CF042A">
        <w:rPr>
          <w:i/>
        </w:rPr>
        <w:t>Public Works and Procurement Regulation 2014</w:t>
      </w:r>
      <w:r>
        <w:rPr>
          <w:i/>
        </w:rPr>
        <w:t>,</w:t>
      </w:r>
      <w:r w:rsidRPr="00CF042A">
        <w:t xml:space="preserve"> clause 6</w:t>
      </w:r>
      <w:r>
        <w:t>)</w:t>
      </w:r>
      <w:r w:rsidRPr="00CF042A">
        <w:t>:</w:t>
      </w:r>
    </w:p>
    <w:p w14:paraId="2F631BE7" w14:textId="77777777" w:rsidR="00CF042A" w:rsidRPr="00CF042A" w:rsidRDefault="00CF042A" w:rsidP="00442A17">
      <w:pPr>
        <w:pStyle w:val="Heading3"/>
        <w:numPr>
          <w:ilvl w:val="2"/>
          <w:numId w:val="33"/>
        </w:numPr>
      </w:pPr>
      <w:proofErr w:type="gramStart"/>
      <w:r w:rsidRPr="00CF042A">
        <w:t>a</w:t>
      </w:r>
      <w:proofErr w:type="gramEnd"/>
      <w:r w:rsidRPr="00CF042A">
        <w:t xml:space="preserve"> private hospital;</w:t>
      </w:r>
    </w:p>
    <w:p w14:paraId="083226FE" w14:textId="77777777" w:rsidR="00CF042A" w:rsidRPr="00CF042A" w:rsidRDefault="00CF042A" w:rsidP="00CF042A">
      <w:pPr>
        <w:pStyle w:val="Heading3"/>
      </w:pPr>
      <w:proofErr w:type="gramStart"/>
      <w:r w:rsidRPr="00CF042A">
        <w:t>a</w:t>
      </w:r>
      <w:proofErr w:type="gramEnd"/>
      <w:r w:rsidRPr="00CF042A">
        <w:t xml:space="preserve"> local council or other local authority;</w:t>
      </w:r>
    </w:p>
    <w:p w14:paraId="070E88FD" w14:textId="77777777" w:rsidR="00CF042A" w:rsidRPr="00CF042A" w:rsidRDefault="00CF042A" w:rsidP="00CF042A">
      <w:pPr>
        <w:pStyle w:val="Heading3"/>
      </w:pPr>
      <w:proofErr w:type="gramStart"/>
      <w:r w:rsidRPr="00CF042A">
        <w:t>a</w:t>
      </w:r>
      <w:proofErr w:type="gramEnd"/>
      <w:r w:rsidRPr="00CF042A">
        <w:t xml:space="preserve"> charity or other community non-profit organisation;</w:t>
      </w:r>
    </w:p>
    <w:p w14:paraId="53A9F38D" w14:textId="037DCE36" w:rsidR="00CF042A" w:rsidRPr="00CF042A" w:rsidRDefault="00CF042A" w:rsidP="00CF042A">
      <w:pPr>
        <w:pStyle w:val="Heading3"/>
      </w:pPr>
      <w:proofErr w:type="gramStart"/>
      <w:r w:rsidRPr="00CF042A">
        <w:lastRenderedPageBreak/>
        <w:t>a</w:t>
      </w:r>
      <w:proofErr w:type="gramEnd"/>
      <w:r w:rsidRPr="00CF042A">
        <w:t xml:space="preserve"> private school or a college;</w:t>
      </w:r>
    </w:p>
    <w:p w14:paraId="39F1576B" w14:textId="77777777" w:rsidR="00CF042A" w:rsidRPr="00CF042A" w:rsidRDefault="00CF042A" w:rsidP="00CF042A">
      <w:pPr>
        <w:pStyle w:val="Heading3"/>
      </w:pPr>
      <w:proofErr w:type="gramStart"/>
      <w:r w:rsidRPr="00CF042A">
        <w:t>a</w:t>
      </w:r>
      <w:proofErr w:type="gramEnd"/>
      <w:r w:rsidRPr="00CF042A">
        <w:t xml:space="preserve"> university;</w:t>
      </w:r>
    </w:p>
    <w:p w14:paraId="7AB36CA0" w14:textId="77777777" w:rsidR="00CF042A" w:rsidRPr="00CF042A" w:rsidRDefault="00CF042A" w:rsidP="00CF042A">
      <w:pPr>
        <w:pStyle w:val="Heading3"/>
      </w:pPr>
      <w:proofErr w:type="gramStart"/>
      <w:r w:rsidRPr="00CF042A">
        <w:t>a</w:t>
      </w:r>
      <w:proofErr w:type="gramEnd"/>
      <w:r w:rsidRPr="00CF042A">
        <w:t xml:space="preserve"> public authority of the Commonwealth, any other State or Territory;</w:t>
      </w:r>
    </w:p>
    <w:p w14:paraId="505B1E46" w14:textId="716D1248" w:rsidR="00CF042A" w:rsidRPr="00CF042A" w:rsidRDefault="00CF042A" w:rsidP="003C0F93">
      <w:pPr>
        <w:pStyle w:val="Heading3"/>
      </w:pPr>
      <w:proofErr w:type="gramStart"/>
      <w:r w:rsidRPr="00CF042A">
        <w:t>a</w:t>
      </w:r>
      <w:proofErr w:type="gramEnd"/>
      <w:r w:rsidRPr="00CF042A">
        <w:t xml:space="preserve"> public authority of any other jurisdiction (but only if it carries on activities in this</w:t>
      </w:r>
      <w:r>
        <w:t xml:space="preserve"> </w:t>
      </w:r>
      <w:r w:rsidRPr="00CF042A">
        <w:t>State); or</w:t>
      </w:r>
    </w:p>
    <w:p w14:paraId="52A54FDA" w14:textId="77777777" w:rsidR="00CF042A" w:rsidRDefault="00CF042A" w:rsidP="003C0F93">
      <w:pPr>
        <w:pStyle w:val="Heading3"/>
      </w:pPr>
      <w:proofErr w:type="gramStart"/>
      <w:r w:rsidRPr="00CF042A">
        <w:t>any</w:t>
      </w:r>
      <w:proofErr w:type="gramEnd"/>
      <w:r w:rsidRPr="00CF042A">
        <w:t xml:space="preserve"> contractor to a public authority (but only in respect of things done as such a</w:t>
      </w:r>
      <w:r>
        <w:t xml:space="preserve"> </w:t>
      </w:r>
      <w:r w:rsidRPr="00CF042A">
        <w:t>contractor).</w:t>
      </w:r>
    </w:p>
    <w:bookmarkEnd w:id="202"/>
    <w:p w14:paraId="1B7F2DF0" w14:textId="5C237D04" w:rsidR="00866F92" w:rsidRDefault="00F94D44" w:rsidP="00CF042A">
      <w:pPr>
        <w:pStyle w:val="BodyText"/>
      </w:pPr>
      <w:r>
        <w:rPr>
          <w:b/>
        </w:rPr>
        <w:t xml:space="preserve">Existing Customer Contract </w:t>
      </w:r>
      <w:r>
        <w:t>has the meaning given in clause</w:t>
      </w:r>
      <w:r w:rsidR="00102F00">
        <w:t xml:space="preserve"> </w:t>
      </w:r>
      <w:r w:rsidR="00102F00">
        <w:fldChar w:fldCharType="begin"/>
      </w:r>
      <w:r w:rsidR="00102F00">
        <w:instrText xml:space="preserve"> REF _Ref25683997 \w \h </w:instrText>
      </w:r>
      <w:r w:rsidR="00102F00">
        <w:fldChar w:fldCharType="separate"/>
      </w:r>
      <w:r w:rsidR="00102F00">
        <w:t>13.4(c)</w:t>
      </w:r>
      <w:r w:rsidR="00102F00">
        <w:fldChar w:fldCharType="end"/>
      </w:r>
      <w:r>
        <w:t>.</w:t>
      </w:r>
    </w:p>
    <w:p w14:paraId="184ECACF" w14:textId="6068E3B1" w:rsidR="00BA2134" w:rsidRPr="00431085" w:rsidRDefault="00BA2134" w:rsidP="00CF042A">
      <w:pPr>
        <w:pStyle w:val="BodyText"/>
      </w:pPr>
      <w:r>
        <w:rPr>
          <w:b/>
        </w:rPr>
        <w:t>Fixed Charge</w:t>
      </w:r>
      <w:r>
        <w:t xml:space="preserve"> has the meaning given in clause </w:t>
      </w:r>
      <w:r>
        <w:fldChar w:fldCharType="begin"/>
      </w:r>
      <w:r>
        <w:instrText xml:space="preserve"> REF _Ref22732661 \w \h </w:instrText>
      </w:r>
      <w:r>
        <w:fldChar w:fldCharType="separate"/>
      </w:r>
      <w:r w:rsidR="00082E91">
        <w:t>5.2</w:t>
      </w:r>
      <w:r>
        <w:fldChar w:fldCharType="end"/>
      </w:r>
      <w:r>
        <w:t xml:space="preserve">.  </w:t>
      </w:r>
    </w:p>
    <w:p w14:paraId="7912083B" w14:textId="03B6D67A" w:rsidR="003B3C93" w:rsidRDefault="003B3C93" w:rsidP="00CF042A">
      <w:pPr>
        <w:pStyle w:val="BodyText"/>
      </w:pPr>
      <w:r>
        <w:rPr>
          <w:b/>
        </w:rPr>
        <w:t xml:space="preserve">Government Agency </w:t>
      </w:r>
      <w:r>
        <w:t xml:space="preserve">means </w:t>
      </w:r>
      <w:r w:rsidRPr="0003309E">
        <w:t xml:space="preserve">any </w:t>
      </w:r>
      <w:r>
        <w:t>of the following:</w:t>
      </w:r>
    </w:p>
    <w:p w14:paraId="43D2BA8A" w14:textId="77777777" w:rsidR="003B3C93" w:rsidRDefault="003B3C93" w:rsidP="00F679F9">
      <w:pPr>
        <w:pStyle w:val="Heading3"/>
        <w:numPr>
          <w:ilvl w:val="2"/>
          <w:numId w:val="3"/>
        </w:numPr>
        <w:tabs>
          <w:tab w:val="num" w:pos="2552"/>
        </w:tabs>
      </w:pPr>
      <w:proofErr w:type="gramStart"/>
      <w:r>
        <w:t>a</w:t>
      </w:r>
      <w:proofErr w:type="gramEnd"/>
      <w:r>
        <w:t xml:space="preserve"> government sector agency (within the meaning of the </w:t>
      </w:r>
      <w:r>
        <w:rPr>
          <w:i/>
        </w:rPr>
        <w:t>Government Sector Employment Act 2013 (NSW)</w:t>
      </w:r>
      <w:r>
        <w:t>);</w:t>
      </w:r>
    </w:p>
    <w:p w14:paraId="064B2AC2" w14:textId="77777777" w:rsidR="003B3C93" w:rsidRDefault="003B3C93" w:rsidP="00F679F9">
      <w:pPr>
        <w:pStyle w:val="Heading3"/>
        <w:numPr>
          <w:ilvl w:val="2"/>
          <w:numId w:val="3"/>
        </w:numPr>
        <w:tabs>
          <w:tab w:val="num" w:pos="2410"/>
        </w:tabs>
      </w:pPr>
      <w:proofErr w:type="gramStart"/>
      <w:r>
        <w:t>a</w:t>
      </w:r>
      <w:proofErr w:type="gramEnd"/>
      <w:r>
        <w:t xml:space="preserve"> NSW Government agency;</w:t>
      </w:r>
    </w:p>
    <w:p w14:paraId="0CB41A2A" w14:textId="77777777" w:rsidR="003B3C93" w:rsidRDefault="003B3C93" w:rsidP="00F679F9">
      <w:pPr>
        <w:pStyle w:val="Heading3"/>
        <w:numPr>
          <w:ilvl w:val="2"/>
          <w:numId w:val="3"/>
        </w:numPr>
        <w:tabs>
          <w:tab w:val="num" w:pos="2410"/>
        </w:tabs>
      </w:pPr>
      <w:proofErr w:type="gramStart"/>
      <w:r>
        <w:t>any</w:t>
      </w:r>
      <w:proofErr w:type="gramEnd"/>
      <w:r>
        <w:t xml:space="preserve"> other public authority that is constituted by or under an Act or that exercises public functions (other than a State owned corporation); or</w:t>
      </w:r>
    </w:p>
    <w:p w14:paraId="745C6DE2" w14:textId="77777777" w:rsidR="003B3C93" w:rsidRPr="00CA109C" w:rsidRDefault="003B3C93" w:rsidP="00F679F9">
      <w:pPr>
        <w:pStyle w:val="Heading3"/>
        <w:numPr>
          <w:ilvl w:val="2"/>
          <w:numId w:val="3"/>
        </w:numPr>
        <w:tabs>
          <w:tab w:val="num" w:pos="2410"/>
        </w:tabs>
      </w:pPr>
      <w:proofErr w:type="gramStart"/>
      <w:r>
        <w:t>any</w:t>
      </w:r>
      <w:proofErr w:type="gramEnd"/>
      <w:r>
        <w:t xml:space="preserve"> State owned corporation prescribed by regulations under the </w:t>
      </w:r>
      <w:r>
        <w:rPr>
          <w:i/>
        </w:rPr>
        <w:t xml:space="preserve">Public Works and Procurement Act 1912 </w:t>
      </w:r>
      <w:r w:rsidRPr="00C27818">
        <w:t>(NSW)</w:t>
      </w:r>
      <w:r>
        <w:rPr>
          <w:i/>
        </w:rPr>
        <w:t xml:space="preserve">.  </w:t>
      </w:r>
    </w:p>
    <w:p w14:paraId="18F072E3" w14:textId="77777777" w:rsidR="003C29B3" w:rsidRPr="003C29B3" w:rsidRDefault="003C29B3" w:rsidP="00033534">
      <w:pPr>
        <w:pStyle w:val="BodyText"/>
      </w:pPr>
      <w:r>
        <w:rPr>
          <w:b/>
        </w:rPr>
        <w:t xml:space="preserve">Head Agreement </w:t>
      </w:r>
      <w:bookmarkStart w:id="203" w:name="_Hlk11507446"/>
      <w:r>
        <w:rPr>
          <w:b/>
        </w:rPr>
        <w:t xml:space="preserve">Details </w:t>
      </w:r>
      <w:r>
        <w:t xml:space="preserve">means the section titled </w:t>
      </w:r>
      <w:r w:rsidR="003467D1">
        <w:t>“</w:t>
      </w:r>
      <w:r>
        <w:t>Head Agreement Details</w:t>
      </w:r>
      <w:r w:rsidR="003467D1">
        <w:t>”</w:t>
      </w:r>
      <w:r>
        <w:t xml:space="preserve"> at the beginning of this document.  </w:t>
      </w:r>
      <w:bookmarkEnd w:id="203"/>
    </w:p>
    <w:p w14:paraId="5B7424A3" w14:textId="60F54801" w:rsidR="000976FA" w:rsidRDefault="000976FA" w:rsidP="00033534">
      <w:pPr>
        <w:pStyle w:val="BodyText"/>
      </w:pPr>
      <w:r>
        <w:rPr>
          <w:b/>
        </w:rPr>
        <w:t xml:space="preserve">Head Agreement </w:t>
      </w:r>
      <w:r w:rsidRPr="000976FA">
        <w:rPr>
          <w:b/>
        </w:rPr>
        <w:t>Terms</w:t>
      </w:r>
      <w:r>
        <w:t xml:space="preserve"> means </w:t>
      </w:r>
      <w:r w:rsidR="00836EE7">
        <w:t xml:space="preserve">clauses </w:t>
      </w:r>
      <w:r w:rsidR="00836EE7">
        <w:fldChar w:fldCharType="begin"/>
      </w:r>
      <w:r w:rsidR="00836EE7">
        <w:instrText xml:space="preserve"> REF _Ref11487980 \r \h </w:instrText>
      </w:r>
      <w:r w:rsidR="00836EE7">
        <w:fldChar w:fldCharType="separate"/>
      </w:r>
      <w:r w:rsidR="00082E91">
        <w:t>1</w:t>
      </w:r>
      <w:r w:rsidR="00836EE7">
        <w:fldChar w:fldCharType="end"/>
      </w:r>
      <w:r w:rsidR="00836EE7">
        <w:t xml:space="preserve"> to </w:t>
      </w:r>
      <w:r w:rsidR="00836EE7">
        <w:fldChar w:fldCharType="begin"/>
      </w:r>
      <w:r w:rsidR="00836EE7">
        <w:instrText xml:space="preserve"> REF _Ref11487990 \r \h </w:instrText>
      </w:r>
      <w:r w:rsidR="00836EE7">
        <w:fldChar w:fldCharType="separate"/>
      </w:r>
      <w:r w:rsidR="00082E91">
        <w:t>15</w:t>
      </w:r>
      <w:r w:rsidR="00836EE7">
        <w:fldChar w:fldCharType="end"/>
      </w:r>
      <w:r w:rsidR="00836EE7">
        <w:t xml:space="preserve"> </w:t>
      </w:r>
      <w:bookmarkStart w:id="204" w:name="_Hlk11507048"/>
      <w:r w:rsidR="00836EE7">
        <w:t>of the</w:t>
      </w:r>
      <w:r w:rsidR="0002773B">
        <w:t>se</w:t>
      </w:r>
      <w:r w:rsidR="00836EE7">
        <w:t xml:space="preserve"> terms</w:t>
      </w:r>
      <w:bookmarkEnd w:id="204"/>
      <w:r>
        <w:t>.</w:t>
      </w:r>
    </w:p>
    <w:p w14:paraId="5699C221" w14:textId="77777777" w:rsidR="009F7101" w:rsidRDefault="009F7101" w:rsidP="009F7101">
      <w:pPr>
        <w:pStyle w:val="BodyText"/>
      </w:pPr>
      <w:bookmarkStart w:id="205" w:name="_Hlk25925902"/>
      <w:bookmarkStart w:id="206" w:name="_Hlk11506215"/>
      <w:r>
        <w:rPr>
          <w:b/>
        </w:rPr>
        <w:t xml:space="preserve">Hourly </w:t>
      </w:r>
      <w:r w:rsidRPr="00507149">
        <w:rPr>
          <w:b/>
        </w:rPr>
        <w:t>Rates</w:t>
      </w:r>
      <w:r w:rsidRPr="00C74F40">
        <w:rPr>
          <w:b/>
        </w:rPr>
        <w:t xml:space="preserve"> </w:t>
      </w:r>
      <w:r>
        <w:t xml:space="preserve">mean </w:t>
      </w:r>
      <w:r w:rsidRPr="00B9384A">
        <w:rPr>
          <w:rFonts w:cs="Arial"/>
          <w:iCs/>
        </w:rPr>
        <w:t xml:space="preserve">the rate </w:t>
      </w:r>
      <w:r>
        <w:rPr>
          <w:rFonts w:cs="Arial"/>
          <w:iCs/>
        </w:rPr>
        <w:t>payable by the Customer</w:t>
      </w:r>
      <w:r w:rsidRPr="00B9384A">
        <w:rPr>
          <w:rFonts w:cs="Arial"/>
          <w:iCs/>
        </w:rPr>
        <w:t xml:space="preserve"> </w:t>
      </w:r>
      <w:r>
        <w:rPr>
          <w:rFonts w:cs="Arial"/>
          <w:iCs/>
        </w:rPr>
        <w:t xml:space="preserve">for each hour (up to 8 hours in a day) that an individual from the Supplier performs Approved Digital Engineering Services on behalf of the Customer.  </w:t>
      </w:r>
    </w:p>
    <w:bookmarkEnd w:id="205"/>
    <w:p w14:paraId="41BAAD76" w14:textId="4B2F28B3" w:rsidR="006300FE" w:rsidRPr="006300FE" w:rsidRDefault="006300FE" w:rsidP="002A5B47">
      <w:pPr>
        <w:pStyle w:val="BodyText"/>
      </w:pPr>
      <w:r>
        <w:rPr>
          <w:b/>
        </w:rPr>
        <w:t xml:space="preserve">Initial Term </w:t>
      </w:r>
      <w:r>
        <w:t xml:space="preserve">means the initial term specified in Item </w:t>
      </w:r>
      <w:r w:rsidR="00832018">
        <w:fldChar w:fldCharType="begin"/>
      </w:r>
      <w:r w:rsidR="00832018">
        <w:instrText xml:space="preserve"> REF _Ref11496938 \r \h </w:instrText>
      </w:r>
      <w:r w:rsidR="00832018">
        <w:fldChar w:fldCharType="separate"/>
      </w:r>
      <w:r w:rsidR="00082E91">
        <w:t>1</w:t>
      </w:r>
      <w:r w:rsidR="00832018">
        <w:fldChar w:fldCharType="end"/>
      </w:r>
      <w:r>
        <w:t xml:space="preserve"> of the Head Agreement Details. </w:t>
      </w:r>
    </w:p>
    <w:p w14:paraId="6AC80428" w14:textId="4B456EDB" w:rsidR="002A5B47" w:rsidRDefault="002A5B47" w:rsidP="002A5B47">
      <w:pPr>
        <w:pStyle w:val="BodyText"/>
      </w:pPr>
      <w:r w:rsidRPr="00E72075">
        <w:rPr>
          <w:b/>
        </w:rPr>
        <w:t>Insolvency Event</w:t>
      </w:r>
      <w:r>
        <w:t xml:space="preserve"> means the occurrence of any one or more of the following events in relation to any person:</w:t>
      </w:r>
    </w:p>
    <w:p w14:paraId="1654749C" w14:textId="77777777" w:rsidR="002A5B47" w:rsidRDefault="002A5B47" w:rsidP="002A5B47">
      <w:pPr>
        <w:pStyle w:val="Sch3"/>
      </w:pPr>
      <w:r>
        <w:t>an application is made to a court for an order, or an order is made, that it be wound up, declared bankrupt or that a provisional liquidator or receiver or receiver and manager be appointed</w:t>
      </w:r>
      <w:r w:rsidRPr="004528EC">
        <w:t>;</w:t>
      </w:r>
    </w:p>
    <w:p w14:paraId="410A44BC" w14:textId="77777777" w:rsidR="002A5B47" w:rsidRDefault="002A5B47" w:rsidP="002A5B47">
      <w:pPr>
        <w:pStyle w:val="Sch3"/>
      </w:pPr>
      <w:r>
        <w:t>a liquidator or provisional liquidator is appointed</w:t>
      </w:r>
      <w:r w:rsidRPr="004528EC">
        <w:t>;</w:t>
      </w:r>
    </w:p>
    <w:p w14:paraId="41FBC5C0" w14:textId="77777777" w:rsidR="002A5B47" w:rsidRDefault="002A5B47" w:rsidP="002A5B47">
      <w:pPr>
        <w:pStyle w:val="Sch3"/>
      </w:pPr>
      <w:r>
        <w:t xml:space="preserve">an administrator is appointed to it under the Corporations Act </w:t>
      </w:r>
      <w:proofErr w:type="spellStart"/>
      <w:r>
        <w:t>ss</w:t>
      </w:r>
      <w:proofErr w:type="spellEnd"/>
      <w:r>
        <w:t xml:space="preserve"> 436A, 436B or 436C;</w:t>
      </w:r>
    </w:p>
    <w:p w14:paraId="72DE2E57" w14:textId="77777777" w:rsidR="002A5B47" w:rsidRDefault="002A5B47" w:rsidP="002A5B47">
      <w:pPr>
        <w:pStyle w:val="Sch3"/>
      </w:pPr>
      <w:r>
        <w:t>a Controller (as defined in the Corporations Act s 9) is appointed to it or any of its assets</w:t>
      </w:r>
      <w:r w:rsidRPr="004528EC">
        <w:t>;</w:t>
      </w:r>
    </w:p>
    <w:p w14:paraId="50A4A668" w14:textId="77777777" w:rsidR="002A5B47" w:rsidRDefault="002A5B47" w:rsidP="002A5B47">
      <w:pPr>
        <w:pStyle w:val="Sch3"/>
      </w:pPr>
      <w:r>
        <w:t>a receiver is appointed to it or any of its assets</w:t>
      </w:r>
      <w:r w:rsidRPr="004528EC">
        <w:t>;</w:t>
      </w:r>
    </w:p>
    <w:p w14:paraId="5790C5B6" w14:textId="77777777" w:rsidR="002A5B47" w:rsidRDefault="002A5B47" w:rsidP="002A5B47">
      <w:pPr>
        <w:pStyle w:val="Sch3"/>
      </w:pPr>
      <w:r>
        <w:lastRenderedPageBreak/>
        <w:t>it enters into an arrangement or composition with one or more of its creditors, or an assignment for the benefit of one or more of its creditors, in each case other than to carry out a reconstruction or amalgamation while solvent;</w:t>
      </w:r>
    </w:p>
    <w:p w14:paraId="67FDC077" w14:textId="77777777" w:rsidR="002A5B47" w:rsidRDefault="002A5B47" w:rsidP="002A5B47">
      <w:pPr>
        <w:pStyle w:val="Sch3"/>
      </w:pPr>
      <w:r>
        <w:t>it proposes a winding-up, dissolution or reorganisation, moratorium, deed of company arrangement or other administration involving one or more of its creditors;</w:t>
      </w:r>
    </w:p>
    <w:p w14:paraId="0CCD7DE9" w14:textId="237677C0" w:rsidR="002A5B47" w:rsidRDefault="002A5B47" w:rsidP="002A5B47">
      <w:pPr>
        <w:pStyle w:val="Sch3"/>
      </w:pPr>
      <w:r>
        <w:t xml:space="preserve">it is insolvent as disclosed in its accounts or otherwise states that it is insolvent, is presumed to be insolvent under an applicable </w:t>
      </w:r>
      <w:r w:rsidR="006300FE">
        <w:t>L</w:t>
      </w:r>
      <w:r>
        <w:t xml:space="preserve">aw (including under the Corporations Act </w:t>
      </w:r>
      <w:proofErr w:type="spellStart"/>
      <w:r>
        <w:t>ss</w:t>
      </w:r>
      <w:proofErr w:type="spellEnd"/>
      <w:r>
        <w:t xml:space="preserve"> 459C(2) or 585) or otherwise is, or states that it is, unable to pay all its debts as and when they become due and payable;</w:t>
      </w:r>
    </w:p>
    <w:p w14:paraId="4263FD9B" w14:textId="77777777" w:rsidR="002A5B47" w:rsidRDefault="002A5B47" w:rsidP="002A5B47">
      <w:pPr>
        <w:pStyle w:val="Sch3"/>
      </w:pPr>
      <w:r>
        <w:t>it is taken to have failed to comply with a statutory demand as a result of the Corporations Act s 459F(1)</w:t>
      </w:r>
      <w:r w:rsidRPr="004528EC">
        <w:t>;</w:t>
      </w:r>
    </w:p>
    <w:p w14:paraId="1104F25C" w14:textId="77777777" w:rsidR="002A5B47" w:rsidRDefault="002A5B47" w:rsidP="002A5B47">
      <w:pPr>
        <w:pStyle w:val="Sch3"/>
      </w:pPr>
      <w:r>
        <w:t xml:space="preserve">a notice is issued under the Corporations Act </w:t>
      </w:r>
      <w:proofErr w:type="spellStart"/>
      <w:r>
        <w:t>ss</w:t>
      </w:r>
      <w:proofErr w:type="spellEnd"/>
      <w:r>
        <w:t xml:space="preserve"> 601AA or 601AB;</w:t>
      </w:r>
    </w:p>
    <w:p w14:paraId="05D27F1A" w14:textId="77777777" w:rsidR="002A5B47" w:rsidRDefault="002A5B47" w:rsidP="002A5B47">
      <w:pPr>
        <w:pStyle w:val="Sch3"/>
      </w:pPr>
      <w:r>
        <w:t xml:space="preserve">a writ of execution is levied against it or </w:t>
      </w:r>
      <w:r w:rsidRPr="00DC578F">
        <w:t xml:space="preserve">a </w:t>
      </w:r>
      <w:r w:rsidRPr="00787A30">
        <w:t xml:space="preserve">material part </w:t>
      </w:r>
      <w:r w:rsidRPr="00DC578F">
        <w:t>of</w:t>
      </w:r>
      <w:r w:rsidRPr="00787A30">
        <w:t xml:space="preserve"> its property;</w:t>
      </w:r>
    </w:p>
    <w:p w14:paraId="7762CD74" w14:textId="77777777" w:rsidR="002A5B47" w:rsidRDefault="002A5B47" w:rsidP="002A5B47">
      <w:pPr>
        <w:pStyle w:val="Sch3"/>
      </w:pPr>
      <w:r>
        <w:t>it ceases to carry on business or threatens to do so; or</w:t>
      </w:r>
    </w:p>
    <w:p w14:paraId="2470C025" w14:textId="12DCCD8E" w:rsidR="002A5B47" w:rsidRDefault="002A5B47" w:rsidP="002A5B47">
      <w:pPr>
        <w:pStyle w:val="Sch3"/>
      </w:pPr>
      <w:proofErr w:type="gramStart"/>
      <w:r>
        <w:t>anything</w:t>
      </w:r>
      <w:proofErr w:type="gramEnd"/>
      <w:r>
        <w:t xml:space="preserve"> occurs under the </w:t>
      </w:r>
      <w:r w:rsidR="006300FE">
        <w:t>L</w:t>
      </w:r>
      <w:r>
        <w:t>aw of any jurisdiction which has a substantially similar effect to any of the events set out in the above paragraphs of this definition.</w:t>
      </w:r>
    </w:p>
    <w:bookmarkEnd w:id="206"/>
    <w:p w14:paraId="4ECFB727" w14:textId="77777777" w:rsidR="00BC5BB8" w:rsidRDefault="00BC5BB8" w:rsidP="00BC5BB8">
      <w:pPr>
        <w:pStyle w:val="BodyText"/>
        <w:keepNext/>
      </w:pPr>
      <w:r w:rsidRPr="0085008C">
        <w:rPr>
          <w:b/>
        </w:rPr>
        <w:t>Intellectual Property Rights</w:t>
      </w:r>
      <w:r w:rsidRPr="0085008C">
        <w:t xml:space="preserve"> means</w:t>
      </w:r>
      <w:r w:rsidRPr="001C07EE">
        <w:t xml:space="preserve"> </w:t>
      </w:r>
      <w:r>
        <w:t>all intellectual property rights including:</w:t>
      </w:r>
    </w:p>
    <w:p w14:paraId="11B22B70" w14:textId="77777777" w:rsidR="00BC5BB8" w:rsidRDefault="00BC5BB8" w:rsidP="00BC5BB8">
      <w:pPr>
        <w:pStyle w:val="Sch3"/>
        <w:numPr>
          <w:ilvl w:val="3"/>
          <w:numId w:val="111"/>
        </w:numPr>
      </w:pPr>
      <w:r>
        <w:t>copyright, patent, trademark, design, semi-conductor or circuit layout rights, registered design, trademarks or trade names and other protected rights, or related rights, existing worldwide; and</w:t>
      </w:r>
    </w:p>
    <w:p w14:paraId="7B391A1C" w14:textId="77777777" w:rsidR="00BC5BB8" w:rsidRDefault="00BC5BB8" w:rsidP="00BC5BB8">
      <w:pPr>
        <w:pStyle w:val="Sch3"/>
      </w:pPr>
      <w:r>
        <w:t xml:space="preserve">any licence, consent, application or right, to use or grant the use of, or apply for the registration of, any of the rights referred to in paragraph (a), </w:t>
      </w:r>
    </w:p>
    <w:p w14:paraId="58ABADBD" w14:textId="77777777" w:rsidR="00BC5BB8" w:rsidRPr="00CA109C" w:rsidRDefault="00BC5BB8" w:rsidP="00BC5BB8">
      <w:pPr>
        <w:pStyle w:val="BodyText"/>
      </w:pPr>
      <w:proofErr w:type="gramStart"/>
      <w:r>
        <w:t>but</w:t>
      </w:r>
      <w:proofErr w:type="gramEnd"/>
      <w:r>
        <w:t xml:space="preserve"> does not include the right to keep confidential information confidential, moral rights as defined in the </w:t>
      </w:r>
      <w:r>
        <w:rPr>
          <w:i/>
        </w:rPr>
        <w:t>Copyright Act 1968 (</w:t>
      </w:r>
      <w:proofErr w:type="spellStart"/>
      <w:r>
        <w:rPr>
          <w:i/>
        </w:rPr>
        <w:t>Cth</w:t>
      </w:r>
      <w:proofErr w:type="spellEnd"/>
      <w:r>
        <w:rPr>
          <w:i/>
        </w:rPr>
        <w:t>)</w:t>
      </w:r>
      <w:r>
        <w:t xml:space="preserve">, business names, company names or domain names.  </w:t>
      </w:r>
    </w:p>
    <w:p w14:paraId="14881F97" w14:textId="77777777" w:rsidR="00AB18E8" w:rsidRDefault="00DF76E7" w:rsidP="00033534">
      <w:pPr>
        <w:pStyle w:val="BodyText"/>
      </w:pPr>
      <w:r w:rsidRPr="00842B44">
        <w:rPr>
          <w:b/>
        </w:rPr>
        <w:t>Laws</w:t>
      </w:r>
      <w:r w:rsidRPr="008940C9">
        <w:rPr>
          <w:rFonts w:cs="Arial"/>
          <w:b/>
        </w:rPr>
        <w:t xml:space="preserve"> </w:t>
      </w:r>
      <w:r w:rsidRPr="00DF76E7">
        <w:rPr>
          <w:rFonts w:cs="Arial"/>
        </w:rPr>
        <w:t>means</w:t>
      </w:r>
      <w:r>
        <w:rPr>
          <w:rFonts w:cs="Arial"/>
          <w:b/>
        </w:rPr>
        <w:t xml:space="preserve"> </w:t>
      </w:r>
      <w:r w:rsidR="00AB18E8" w:rsidRPr="00AB18E8">
        <w:rPr>
          <w:rFonts w:cs="Arial"/>
        </w:rPr>
        <w:t>any applicable</w:t>
      </w:r>
      <w:r w:rsidR="00AB18E8">
        <w:rPr>
          <w:rFonts w:cs="Arial"/>
          <w:b/>
        </w:rPr>
        <w:t xml:space="preserve"> </w:t>
      </w:r>
      <w:r w:rsidR="00AB18E8">
        <w:t xml:space="preserve">statute, regulation, by-law, ordinance or subordinate legislation in force from time to time in any relevant jurisdiction and includes the common law as applicable from time to time.  </w:t>
      </w:r>
    </w:p>
    <w:p w14:paraId="1AFCF207" w14:textId="6644E8DD" w:rsidR="006300FE" w:rsidRDefault="006300FE" w:rsidP="00965C2F">
      <w:pPr>
        <w:pStyle w:val="BodyText"/>
      </w:pPr>
      <w:r>
        <w:rPr>
          <w:b/>
        </w:rPr>
        <w:t>Modern Slavery</w:t>
      </w:r>
      <w:r>
        <w:t xml:space="preserve"> has the same meaning as in the Modern Slavery Laws and includes slavery, servitude, forced labour, human trafficking, debt bondage, organ trafficking, forced marriage and the exploitation of children. </w:t>
      </w:r>
    </w:p>
    <w:p w14:paraId="7CA65DA4" w14:textId="2A5AA017" w:rsidR="006300FE" w:rsidRDefault="006300FE" w:rsidP="00965C2F">
      <w:pPr>
        <w:pStyle w:val="BodyText"/>
      </w:pPr>
      <w:r>
        <w:rPr>
          <w:b/>
        </w:rPr>
        <w:t>Modern Slavery Laws</w:t>
      </w:r>
      <w:r>
        <w:t xml:space="preserve"> means, as applicable, the </w:t>
      </w:r>
      <w:r>
        <w:rPr>
          <w:i/>
        </w:rPr>
        <w:t>Modern Slavery Act 2018</w:t>
      </w:r>
      <w:r>
        <w:t xml:space="preserve"> (NSW) and the </w:t>
      </w:r>
      <w:r>
        <w:rPr>
          <w:i/>
        </w:rPr>
        <w:t>Modern Slavery Act 2018</w:t>
      </w:r>
      <w:r>
        <w:t xml:space="preserve"> (</w:t>
      </w:r>
      <w:proofErr w:type="spellStart"/>
      <w:r>
        <w:t>Cth</w:t>
      </w:r>
      <w:proofErr w:type="spellEnd"/>
      <w:r>
        <w:t>).</w:t>
      </w:r>
    </w:p>
    <w:p w14:paraId="3B349276" w14:textId="4739CBF8" w:rsidR="006300FE" w:rsidRPr="006300FE" w:rsidRDefault="006300FE" w:rsidP="00A94B65">
      <w:pPr>
        <w:pStyle w:val="BodyText"/>
      </w:pPr>
      <w:r>
        <w:rPr>
          <w:b/>
        </w:rPr>
        <w:t>Modern Slavery Offence</w:t>
      </w:r>
      <w:r>
        <w:t xml:space="preserve"> has the same meaning as in the </w:t>
      </w:r>
      <w:r>
        <w:rPr>
          <w:i/>
        </w:rPr>
        <w:t xml:space="preserve">Modern Slavery Act 2018 </w:t>
      </w:r>
      <w:r>
        <w:t>(NSW)</w:t>
      </w:r>
      <w:r w:rsidR="00C27818">
        <w:t xml:space="preserve"> and the </w:t>
      </w:r>
      <w:r w:rsidR="00C27818">
        <w:rPr>
          <w:i/>
        </w:rPr>
        <w:t>Modern Slavery Act 2018</w:t>
      </w:r>
      <w:r w:rsidR="00C27818">
        <w:t xml:space="preserve"> (</w:t>
      </w:r>
      <w:proofErr w:type="spellStart"/>
      <w:r w:rsidR="00C27818">
        <w:t>Cth</w:t>
      </w:r>
      <w:proofErr w:type="spellEnd"/>
      <w:r w:rsidR="00C27818">
        <w:t>), as applicable</w:t>
      </w:r>
      <w:r>
        <w:t>.</w:t>
      </w:r>
    </w:p>
    <w:p w14:paraId="453096A8" w14:textId="20798B06" w:rsidR="00A37213" w:rsidRPr="00CA109C" w:rsidRDefault="00A37213" w:rsidP="00965C2F">
      <w:pPr>
        <w:pStyle w:val="BodyText"/>
      </w:pPr>
      <w:r>
        <w:rPr>
          <w:b/>
        </w:rPr>
        <w:t xml:space="preserve">NSW Government Cyber Security Policy </w:t>
      </w:r>
      <w:r>
        <w:t>means</w:t>
      </w:r>
      <w:r>
        <w:rPr>
          <w:rFonts w:cs="Arial"/>
        </w:rPr>
        <w:t xml:space="preserve"> the policy with the same name published by NSW Government and which can be found at </w:t>
      </w:r>
      <w:hyperlink r:id="rId22" w:history="1">
        <w:r w:rsidRPr="00885B95">
          <w:rPr>
            <w:rStyle w:val="Hyperlink"/>
            <w:rFonts w:cs="Arial"/>
          </w:rPr>
          <w:t>https://www.digital.nsw.gov.au/policy/cyber-security/cyber-security-policy</w:t>
        </w:r>
      </w:hyperlink>
      <w:r>
        <w:rPr>
          <w:rFonts w:cs="Arial"/>
        </w:rPr>
        <w:t xml:space="preserve">.  </w:t>
      </w:r>
    </w:p>
    <w:p w14:paraId="3DDC3497" w14:textId="3879BD14" w:rsidR="0047791B" w:rsidRDefault="0047791B" w:rsidP="0047791B">
      <w:pPr>
        <w:pStyle w:val="BodyText"/>
      </w:pPr>
      <w:r>
        <w:rPr>
          <w:b/>
        </w:rPr>
        <w:t>Order</w:t>
      </w:r>
      <w:r>
        <w:t xml:space="preserve"> means an Order Form that has been executed by the </w:t>
      </w:r>
      <w:r w:rsidR="00D82BC0">
        <w:t>Supplier</w:t>
      </w:r>
      <w:r>
        <w:t xml:space="preserve"> and </w:t>
      </w:r>
      <w:r w:rsidR="00141391">
        <w:t xml:space="preserve">a </w:t>
      </w:r>
      <w:r>
        <w:t xml:space="preserve">Customer. </w:t>
      </w:r>
    </w:p>
    <w:p w14:paraId="75AE1540" w14:textId="7220C8E9" w:rsidR="00C27818" w:rsidRDefault="00C27818" w:rsidP="00033534">
      <w:pPr>
        <w:pStyle w:val="BodyText"/>
        <w:rPr>
          <w:b/>
        </w:rPr>
      </w:pPr>
      <w:r>
        <w:rPr>
          <w:b/>
        </w:rPr>
        <w:lastRenderedPageBreak/>
        <w:t xml:space="preserve">Order Form </w:t>
      </w:r>
      <w:r>
        <w:t xml:space="preserve">means a document in the form of the template in Schedule 2 to the Customer Contract. </w:t>
      </w:r>
    </w:p>
    <w:p w14:paraId="74108AB6" w14:textId="0F52C722" w:rsidR="00406336" w:rsidRDefault="00406336" w:rsidP="00033534">
      <w:pPr>
        <w:pStyle w:val="BodyText"/>
        <w:rPr>
          <w:rFonts w:cs="Arial"/>
          <w:b/>
        </w:rPr>
      </w:pPr>
      <w:r w:rsidRPr="00406336">
        <w:rPr>
          <w:b/>
        </w:rPr>
        <w:t>Personal Information</w:t>
      </w:r>
      <w:r w:rsidRPr="008940C9">
        <w:rPr>
          <w:rFonts w:cs="Arial"/>
          <w:b/>
        </w:rPr>
        <w:t xml:space="preserve"> </w:t>
      </w:r>
      <w:r w:rsidR="0084316E">
        <w:rPr>
          <w:rFonts w:eastAsia="Century Gothic" w:cs="Arial"/>
        </w:rPr>
        <w:t>h</w:t>
      </w:r>
      <w:r w:rsidR="0084316E" w:rsidRPr="00B47F84">
        <w:rPr>
          <w:rFonts w:eastAsia="Century Gothic" w:cs="Arial"/>
        </w:rPr>
        <w:t xml:space="preserve">as the meaning given </w:t>
      </w:r>
      <w:r w:rsidR="0084316E">
        <w:rPr>
          <w:rFonts w:eastAsia="Century Gothic" w:cs="Arial"/>
        </w:rPr>
        <w:t xml:space="preserve">to it </w:t>
      </w:r>
      <w:r w:rsidR="0084316E" w:rsidRPr="00B47F84">
        <w:rPr>
          <w:rFonts w:eastAsia="Century Gothic" w:cs="Arial"/>
        </w:rPr>
        <w:t xml:space="preserve">in the </w:t>
      </w:r>
      <w:r w:rsidR="0084316E" w:rsidRPr="00B47F84">
        <w:rPr>
          <w:rFonts w:cs="Arial"/>
        </w:rPr>
        <w:t>Privacy Laws</w:t>
      </w:r>
      <w:r w:rsidR="0084316E">
        <w:rPr>
          <w:rFonts w:cs="Arial"/>
        </w:rPr>
        <w:t>.</w:t>
      </w:r>
    </w:p>
    <w:p w14:paraId="2DF49089" w14:textId="77777777" w:rsidR="00C27818" w:rsidRDefault="000E23ED" w:rsidP="00CA04C7">
      <w:pPr>
        <w:pStyle w:val="BodyText"/>
        <w:rPr>
          <w:rFonts w:cs="Arial"/>
        </w:rPr>
      </w:pPr>
      <w:r>
        <w:rPr>
          <w:rFonts w:cs="Arial"/>
          <w:b/>
        </w:rPr>
        <w:t xml:space="preserve">Personnel </w:t>
      </w:r>
      <w:r w:rsidRPr="00FC05EE">
        <w:rPr>
          <w:rFonts w:cs="Arial"/>
        </w:rPr>
        <w:t>means</w:t>
      </w:r>
      <w:r>
        <w:rPr>
          <w:rFonts w:cs="Arial"/>
          <w:b/>
        </w:rPr>
        <w:t xml:space="preserve"> </w:t>
      </w:r>
      <w:r w:rsidRPr="00CA109C">
        <w:rPr>
          <w:rFonts w:cs="Arial"/>
        </w:rPr>
        <w:t>a party</w:t>
      </w:r>
      <w:r w:rsidR="003467D1">
        <w:rPr>
          <w:rFonts w:cs="Arial"/>
        </w:rPr>
        <w:t>’</w:t>
      </w:r>
      <w:r w:rsidRPr="00CA109C">
        <w:rPr>
          <w:rFonts w:cs="Arial"/>
        </w:rPr>
        <w:t>s employees and contractors</w:t>
      </w:r>
      <w:r w:rsidR="00C27818">
        <w:rPr>
          <w:rFonts w:cs="Arial"/>
        </w:rPr>
        <w:t xml:space="preserve"> and:</w:t>
      </w:r>
    </w:p>
    <w:p w14:paraId="7417F779" w14:textId="77777777" w:rsidR="00C27818" w:rsidRDefault="00C27818" w:rsidP="00C27818">
      <w:pPr>
        <w:pStyle w:val="Heading3"/>
        <w:numPr>
          <w:ilvl w:val="2"/>
          <w:numId w:val="110"/>
        </w:numPr>
      </w:pPr>
      <w:proofErr w:type="gramStart"/>
      <w:r>
        <w:t>in</w:t>
      </w:r>
      <w:proofErr w:type="gramEnd"/>
      <w:r>
        <w:t xml:space="preserve"> the case of the Supplier, any persons performing any part of the Customer Contract on the Supplier’s behalf; and</w:t>
      </w:r>
    </w:p>
    <w:p w14:paraId="39A66699" w14:textId="485A4A79" w:rsidR="000E23ED" w:rsidRDefault="00C27818" w:rsidP="00C27818">
      <w:pPr>
        <w:pStyle w:val="Heading3"/>
        <w:numPr>
          <w:ilvl w:val="2"/>
          <w:numId w:val="110"/>
        </w:numPr>
      </w:pPr>
      <w:proofErr w:type="gramStart"/>
      <w:r>
        <w:t>in</w:t>
      </w:r>
      <w:proofErr w:type="gramEnd"/>
      <w:r>
        <w:t xml:space="preserve"> the case of the Customer, any recipients or users of the Approved Digital Engineering Services</w:t>
      </w:r>
      <w:r w:rsidR="00CA04C7">
        <w:t>.</w:t>
      </w:r>
    </w:p>
    <w:p w14:paraId="3FBAC670" w14:textId="021B7D42" w:rsidR="008940C9" w:rsidRPr="008940C9" w:rsidRDefault="004D2BBF" w:rsidP="008940C9">
      <w:pPr>
        <w:pStyle w:val="BodyText"/>
        <w:rPr>
          <w:rFonts w:cs="Arial"/>
          <w:b/>
        </w:rPr>
      </w:pPr>
      <w:r w:rsidRPr="008940C9">
        <w:rPr>
          <w:rFonts w:cs="Arial"/>
          <w:b/>
        </w:rPr>
        <w:t xml:space="preserve">Price List </w:t>
      </w:r>
      <w:r w:rsidRPr="008940C9">
        <w:rPr>
          <w:rFonts w:cs="Arial"/>
        </w:rPr>
        <w:t xml:space="preserve">means the </w:t>
      </w:r>
      <w:r w:rsidR="003C29B3">
        <w:rPr>
          <w:rFonts w:cs="Arial"/>
        </w:rPr>
        <w:t>list of maximu</w:t>
      </w:r>
      <w:r w:rsidR="00042599">
        <w:rPr>
          <w:rFonts w:cs="Arial"/>
        </w:rPr>
        <w:t xml:space="preserve">m </w:t>
      </w:r>
      <w:r w:rsidR="008F793F">
        <w:rPr>
          <w:rFonts w:cs="Arial"/>
        </w:rPr>
        <w:t xml:space="preserve">Hourly and </w:t>
      </w:r>
      <w:r w:rsidR="00C27818">
        <w:rPr>
          <w:rFonts w:cs="Arial"/>
        </w:rPr>
        <w:t>D</w:t>
      </w:r>
      <w:r w:rsidR="00442A17">
        <w:rPr>
          <w:rFonts w:cs="Arial"/>
        </w:rPr>
        <w:t xml:space="preserve">aily </w:t>
      </w:r>
      <w:r w:rsidR="00C27818">
        <w:rPr>
          <w:rFonts w:cs="Arial"/>
        </w:rPr>
        <w:t>R</w:t>
      </w:r>
      <w:r w:rsidR="00442A17">
        <w:rPr>
          <w:rFonts w:cs="Arial"/>
        </w:rPr>
        <w:t>ates</w:t>
      </w:r>
      <w:r w:rsidRPr="008940C9">
        <w:rPr>
          <w:rFonts w:cs="Arial"/>
        </w:rPr>
        <w:t xml:space="preserve"> </w:t>
      </w:r>
      <w:r w:rsidR="003C29B3">
        <w:rPr>
          <w:rFonts w:cs="Arial"/>
        </w:rPr>
        <w:t xml:space="preserve">for </w:t>
      </w:r>
      <w:r w:rsidRPr="008940C9">
        <w:rPr>
          <w:rFonts w:cs="Arial"/>
        </w:rPr>
        <w:t xml:space="preserve">the </w:t>
      </w:r>
      <w:r w:rsidR="001E2709">
        <w:rPr>
          <w:rFonts w:cs="Arial"/>
        </w:rPr>
        <w:t xml:space="preserve">Approved </w:t>
      </w:r>
      <w:r w:rsidR="002E7CC0">
        <w:rPr>
          <w:rFonts w:cs="Arial"/>
        </w:rPr>
        <w:t>Digital Engineering Service</w:t>
      </w:r>
      <w:r w:rsidRPr="008940C9">
        <w:rPr>
          <w:rFonts w:cs="Arial"/>
        </w:rPr>
        <w:t xml:space="preserve">s set out in </w:t>
      </w:r>
      <w:r w:rsidR="0002773B">
        <w:rPr>
          <w:rFonts w:cs="Arial"/>
        </w:rPr>
        <w:fldChar w:fldCharType="begin"/>
      </w:r>
      <w:r w:rsidR="0002773B">
        <w:rPr>
          <w:rFonts w:cs="Arial"/>
        </w:rPr>
        <w:instrText xml:space="preserve"> REF _Ref19801082 \w \h </w:instrText>
      </w:r>
      <w:r w:rsidR="0002773B">
        <w:rPr>
          <w:rFonts w:cs="Arial"/>
        </w:rPr>
      </w:r>
      <w:r w:rsidR="0002773B">
        <w:rPr>
          <w:rFonts w:cs="Arial"/>
        </w:rPr>
        <w:fldChar w:fldCharType="separate"/>
      </w:r>
      <w:r w:rsidR="00082E91">
        <w:rPr>
          <w:rFonts w:cs="Arial"/>
        </w:rPr>
        <w:t>Schedule 3</w:t>
      </w:r>
      <w:r w:rsidR="0002773B">
        <w:rPr>
          <w:rFonts w:cs="Arial"/>
        </w:rPr>
        <w:fldChar w:fldCharType="end"/>
      </w:r>
      <w:r w:rsidR="0002773B">
        <w:rPr>
          <w:rFonts w:cs="Arial"/>
        </w:rPr>
        <w:t xml:space="preserve"> </w:t>
      </w:r>
      <w:r w:rsidR="00EF332C">
        <w:rPr>
          <w:rFonts w:cs="Arial"/>
        </w:rPr>
        <w:t>(Price List)</w:t>
      </w:r>
      <w:r w:rsidR="00EC716B">
        <w:rPr>
          <w:rFonts w:cs="Arial"/>
        </w:rPr>
        <w:t>, as amended from time to time in accordance with this Head Agreement</w:t>
      </w:r>
      <w:r w:rsidR="00EF332C">
        <w:rPr>
          <w:rFonts w:cs="Arial"/>
        </w:rPr>
        <w:t xml:space="preserve">. </w:t>
      </w:r>
    </w:p>
    <w:p w14:paraId="7FA82089" w14:textId="77777777" w:rsidR="00703B52" w:rsidRDefault="00703B52" w:rsidP="008940C9">
      <w:pPr>
        <w:pStyle w:val="BodyText"/>
        <w:rPr>
          <w:rFonts w:eastAsiaTheme="minorHAnsi" w:cs="Arial"/>
        </w:rPr>
      </w:pPr>
      <w:r w:rsidRPr="00703B52">
        <w:rPr>
          <w:b/>
        </w:rPr>
        <w:t>Privacy Laws</w:t>
      </w:r>
      <w:r w:rsidRPr="008940C9">
        <w:rPr>
          <w:rFonts w:eastAsiaTheme="minorHAnsi" w:cs="Arial"/>
          <w:b/>
        </w:rPr>
        <w:t xml:space="preserve"> </w:t>
      </w:r>
      <w:r w:rsidR="0084316E" w:rsidRPr="0084316E">
        <w:rPr>
          <w:rFonts w:eastAsiaTheme="minorHAnsi" w:cs="Arial"/>
        </w:rPr>
        <w:t>means</w:t>
      </w:r>
      <w:r w:rsidR="0084316E">
        <w:rPr>
          <w:rFonts w:eastAsiaTheme="minorHAnsi" w:cs="Arial"/>
        </w:rPr>
        <w:t>:</w:t>
      </w:r>
    </w:p>
    <w:p w14:paraId="6FF51E3B" w14:textId="77777777" w:rsidR="0084316E" w:rsidRPr="0084316E" w:rsidRDefault="0084316E" w:rsidP="00F679F9">
      <w:pPr>
        <w:pStyle w:val="Heading3"/>
        <w:numPr>
          <w:ilvl w:val="2"/>
          <w:numId w:val="4"/>
        </w:numPr>
        <w:rPr>
          <w:rFonts w:cs="Arial"/>
          <w:color w:val="000000" w:themeColor="text1"/>
        </w:rPr>
      </w:pPr>
      <w:proofErr w:type="gramStart"/>
      <w:r w:rsidRPr="0084316E">
        <w:rPr>
          <w:rFonts w:cs="Arial"/>
          <w:color w:val="000000" w:themeColor="text1"/>
        </w:rPr>
        <w:t>the</w:t>
      </w:r>
      <w:proofErr w:type="gramEnd"/>
      <w:r w:rsidRPr="0084316E">
        <w:rPr>
          <w:rFonts w:cs="Arial"/>
          <w:color w:val="000000" w:themeColor="text1"/>
        </w:rPr>
        <w:t xml:space="preserve"> </w:t>
      </w:r>
      <w:r w:rsidRPr="0002773B">
        <w:rPr>
          <w:rFonts w:cs="Arial"/>
          <w:i/>
          <w:color w:val="000000" w:themeColor="text1"/>
        </w:rPr>
        <w:t>Privacy Act 1988</w:t>
      </w:r>
      <w:r w:rsidRPr="0084316E">
        <w:rPr>
          <w:rFonts w:cs="Arial"/>
          <w:color w:val="000000" w:themeColor="text1"/>
        </w:rPr>
        <w:t xml:space="preserve"> (</w:t>
      </w:r>
      <w:proofErr w:type="spellStart"/>
      <w:r w:rsidRPr="0084316E">
        <w:rPr>
          <w:rFonts w:cs="Arial"/>
          <w:color w:val="000000" w:themeColor="text1"/>
        </w:rPr>
        <w:t>Cth</w:t>
      </w:r>
      <w:proofErr w:type="spellEnd"/>
      <w:r w:rsidRPr="0084316E">
        <w:rPr>
          <w:rFonts w:cs="Arial"/>
          <w:color w:val="000000" w:themeColor="text1"/>
        </w:rPr>
        <w:t>);</w:t>
      </w:r>
    </w:p>
    <w:p w14:paraId="29959E05" w14:textId="77777777" w:rsidR="0084316E" w:rsidRPr="0084316E" w:rsidRDefault="0084316E" w:rsidP="0084316E">
      <w:pPr>
        <w:pStyle w:val="Heading3"/>
        <w:rPr>
          <w:rFonts w:cs="Arial"/>
          <w:color w:val="000000" w:themeColor="text1"/>
        </w:rPr>
      </w:pPr>
      <w:proofErr w:type="gramStart"/>
      <w:r w:rsidRPr="0084316E">
        <w:rPr>
          <w:rFonts w:cs="Arial"/>
          <w:color w:val="000000" w:themeColor="text1"/>
        </w:rPr>
        <w:t>the</w:t>
      </w:r>
      <w:proofErr w:type="gramEnd"/>
      <w:r w:rsidRPr="0084316E">
        <w:rPr>
          <w:rFonts w:cs="Arial"/>
          <w:color w:val="000000" w:themeColor="text1"/>
        </w:rPr>
        <w:t xml:space="preserve"> </w:t>
      </w:r>
      <w:r w:rsidRPr="0002773B">
        <w:rPr>
          <w:rFonts w:cs="Arial"/>
          <w:i/>
          <w:color w:val="000000" w:themeColor="text1"/>
        </w:rPr>
        <w:t>Privacy and Personal Information Protection Act 1998</w:t>
      </w:r>
      <w:r w:rsidRPr="0084316E">
        <w:rPr>
          <w:rFonts w:cs="Arial"/>
          <w:color w:val="000000" w:themeColor="text1"/>
        </w:rPr>
        <w:t xml:space="preserve"> (NSW);</w:t>
      </w:r>
    </w:p>
    <w:p w14:paraId="6BDBDE89" w14:textId="77777777" w:rsidR="0084316E" w:rsidRPr="0084316E" w:rsidRDefault="0084316E" w:rsidP="0084316E">
      <w:pPr>
        <w:pStyle w:val="Heading3"/>
        <w:rPr>
          <w:rFonts w:cs="Arial"/>
          <w:color w:val="000000" w:themeColor="text1"/>
        </w:rPr>
      </w:pPr>
      <w:proofErr w:type="gramStart"/>
      <w:r w:rsidRPr="0084316E">
        <w:rPr>
          <w:rFonts w:cs="Arial"/>
          <w:color w:val="000000" w:themeColor="text1"/>
        </w:rPr>
        <w:t>the</w:t>
      </w:r>
      <w:proofErr w:type="gramEnd"/>
      <w:r w:rsidRPr="0084316E">
        <w:rPr>
          <w:rFonts w:cs="Arial"/>
          <w:color w:val="000000" w:themeColor="text1"/>
        </w:rPr>
        <w:t xml:space="preserve"> </w:t>
      </w:r>
      <w:r w:rsidRPr="0002773B">
        <w:rPr>
          <w:rFonts w:cs="Arial"/>
          <w:i/>
          <w:color w:val="000000" w:themeColor="text1"/>
        </w:rPr>
        <w:t>Health Records and Information Privacy Act 2002</w:t>
      </w:r>
      <w:r w:rsidRPr="0084316E">
        <w:rPr>
          <w:rFonts w:cs="Arial"/>
          <w:color w:val="000000" w:themeColor="text1"/>
        </w:rPr>
        <w:t xml:space="preserve"> (NSW); </w:t>
      </w:r>
    </w:p>
    <w:p w14:paraId="6CF51ADD" w14:textId="035B2C2D" w:rsidR="0084316E" w:rsidRPr="0084316E" w:rsidRDefault="0084316E" w:rsidP="0084316E">
      <w:pPr>
        <w:pStyle w:val="Heading3"/>
        <w:rPr>
          <w:rFonts w:cs="Arial"/>
          <w:color w:val="000000" w:themeColor="text1"/>
        </w:rPr>
      </w:pPr>
      <w:proofErr w:type="gramStart"/>
      <w:r w:rsidRPr="0084316E">
        <w:rPr>
          <w:rFonts w:cs="Arial"/>
          <w:color w:val="000000" w:themeColor="text1"/>
        </w:rPr>
        <w:t>any</w:t>
      </w:r>
      <w:proofErr w:type="gramEnd"/>
      <w:r w:rsidRPr="0084316E">
        <w:rPr>
          <w:rFonts w:cs="Arial"/>
          <w:color w:val="000000" w:themeColor="text1"/>
        </w:rPr>
        <w:t xml:space="preserve"> legislation (to the extent that such legislation applies to the </w:t>
      </w:r>
      <w:r w:rsidR="005205F0">
        <w:rPr>
          <w:rFonts w:cs="Arial"/>
          <w:color w:val="000000" w:themeColor="text1"/>
        </w:rPr>
        <w:t>Customer</w:t>
      </w:r>
      <w:r w:rsidRPr="0084316E">
        <w:rPr>
          <w:rFonts w:cs="Arial"/>
          <w:color w:val="000000" w:themeColor="text1"/>
        </w:rPr>
        <w:t xml:space="preserve"> or the </w:t>
      </w:r>
      <w:r w:rsidR="00D82BC0">
        <w:rPr>
          <w:rFonts w:cs="Arial"/>
          <w:color w:val="000000" w:themeColor="text1"/>
        </w:rPr>
        <w:t>Supplier</w:t>
      </w:r>
      <w:r w:rsidRPr="0084316E">
        <w:rPr>
          <w:rFonts w:cs="Arial"/>
          <w:color w:val="000000" w:themeColor="text1"/>
        </w:rPr>
        <w:t xml:space="preserve"> or any other recipient of Personal Information) from time to time in force in:</w:t>
      </w:r>
    </w:p>
    <w:p w14:paraId="12147C1C" w14:textId="77777777" w:rsidR="0084316E" w:rsidRPr="0084316E" w:rsidRDefault="0084316E" w:rsidP="0084316E">
      <w:pPr>
        <w:pStyle w:val="Heading4"/>
      </w:pPr>
      <w:proofErr w:type="gramStart"/>
      <w:r w:rsidRPr="0084316E">
        <w:t>any</w:t>
      </w:r>
      <w:proofErr w:type="gramEnd"/>
      <w:r w:rsidRPr="0084316E">
        <w:t xml:space="preserve"> Australian jurisdiction (which includes the Commonwealth of Australia and any State or Territory of Australia); and</w:t>
      </w:r>
    </w:p>
    <w:p w14:paraId="36EA0056" w14:textId="1B16BDB0" w:rsidR="0084316E" w:rsidRPr="0084316E" w:rsidRDefault="0084316E" w:rsidP="0084316E">
      <w:pPr>
        <w:pStyle w:val="Heading4"/>
      </w:pPr>
      <w:proofErr w:type="gramStart"/>
      <w:r w:rsidRPr="0084316E">
        <w:t>any</w:t>
      </w:r>
      <w:proofErr w:type="gramEnd"/>
      <w:r w:rsidRPr="0084316E">
        <w:t xml:space="preserve"> other jurisdiction (to the extent that the </w:t>
      </w:r>
      <w:r w:rsidR="005205F0">
        <w:rPr>
          <w:rFonts w:cs="Arial"/>
          <w:color w:val="000000" w:themeColor="text1"/>
        </w:rPr>
        <w:t>Customer</w:t>
      </w:r>
      <w:r w:rsidRPr="0084316E">
        <w:rPr>
          <w:rFonts w:cs="Arial"/>
          <w:color w:val="000000" w:themeColor="text1"/>
        </w:rPr>
        <w:t xml:space="preserve"> </w:t>
      </w:r>
      <w:r w:rsidRPr="0084316E">
        <w:t xml:space="preserve">or any Personal Information or the </w:t>
      </w:r>
      <w:r w:rsidR="00D82BC0">
        <w:t>Supplier</w:t>
      </w:r>
      <w:r w:rsidRPr="0084316E">
        <w:t xml:space="preserve"> is subject to the </w:t>
      </w:r>
      <w:r w:rsidR="00C05C46">
        <w:t>Law</w:t>
      </w:r>
      <w:r w:rsidRPr="0084316E">
        <w:t>s of that jurisdiction),</w:t>
      </w:r>
    </w:p>
    <w:p w14:paraId="4A1BA5A1" w14:textId="585B6AF8" w:rsidR="0084316E" w:rsidRPr="0084316E" w:rsidRDefault="0084316E" w:rsidP="0084316E">
      <w:pPr>
        <w:pStyle w:val="Heading3"/>
        <w:rPr>
          <w:rFonts w:cs="Arial"/>
          <w:color w:val="000000" w:themeColor="text1"/>
        </w:rPr>
      </w:pPr>
      <w:r w:rsidRPr="0084316E">
        <w:rPr>
          <w:rFonts w:cs="Arial"/>
          <w:color w:val="000000" w:themeColor="text1"/>
        </w:rPr>
        <w:t xml:space="preserve">affecting privacy or Personal Information, provided that the </w:t>
      </w:r>
      <w:r w:rsidR="00D82BC0">
        <w:rPr>
          <w:rFonts w:cs="Arial"/>
          <w:color w:val="000000" w:themeColor="text1"/>
        </w:rPr>
        <w:t>Supplier</w:t>
      </w:r>
      <w:r w:rsidRPr="0084316E">
        <w:rPr>
          <w:rFonts w:cs="Arial"/>
          <w:color w:val="000000" w:themeColor="text1"/>
        </w:rPr>
        <w:t xml:space="preserve"> ensures that it complies at all times with the Privacy Laws applicable in New South Wales; and</w:t>
      </w:r>
    </w:p>
    <w:p w14:paraId="21ADE8C8" w14:textId="77777777" w:rsidR="0084316E" w:rsidRPr="0084316E" w:rsidRDefault="0084316E" w:rsidP="0084316E">
      <w:pPr>
        <w:pStyle w:val="Heading3"/>
        <w:rPr>
          <w:rFonts w:cs="Arial"/>
          <w:color w:val="000000" w:themeColor="text1"/>
        </w:rPr>
      </w:pPr>
      <w:proofErr w:type="gramStart"/>
      <w:r w:rsidRPr="0084316E">
        <w:rPr>
          <w:rFonts w:cs="Arial"/>
          <w:color w:val="000000" w:themeColor="text1"/>
        </w:rPr>
        <w:t>any</w:t>
      </w:r>
      <w:proofErr w:type="gramEnd"/>
      <w:r w:rsidRPr="0084316E">
        <w:rPr>
          <w:rFonts w:cs="Arial"/>
          <w:color w:val="000000" w:themeColor="text1"/>
        </w:rPr>
        <w:t xml:space="preserve"> ancillary rules, guidelines, orders, directions, directives, codes of conduct or other instruments made or issued under any of the legislation referred to in paragraphs (a), (b), (c) and (d), as amended from time to time.</w:t>
      </w:r>
    </w:p>
    <w:p w14:paraId="76C5173C" w14:textId="69BF7BB5" w:rsidR="007C1F3E" w:rsidRPr="00431085" w:rsidRDefault="007C1F3E" w:rsidP="00564DD2">
      <w:pPr>
        <w:pStyle w:val="BodyText"/>
        <w:rPr>
          <w:rFonts w:eastAsia="Century Gothic" w:cs="Arial"/>
        </w:rPr>
      </w:pPr>
      <w:r>
        <w:rPr>
          <w:rFonts w:eastAsia="Century Gothic" w:cs="Arial"/>
          <w:b/>
        </w:rPr>
        <w:t>PWP Act</w:t>
      </w:r>
      <w:r>
        <w:rPr>
          <w:rFonts w:eastAsia="Century Gothic" w:cs="Arial"/>
        </w:rPr>
        <w:t xml:space="preserve"> has the meaning given in Recital A.  </w:t>
      </w:r>
    </w:p>
    <w:p w14:paraId="5485CD59" w14:textId="698F0023" w:rsidR="00847193" w:rsidRDefault="00847193" w:rsidP="00564DD2">
      <w:pPr>
        <w:pStyle w:val="BodyText"/>
        <w:rPr>
          <w:rFonts w:eastAsia="Century Gothic" w:cs="Arial"/>
        </w:rPr>
      </w:pPr>
      <w:r>
        <w:rPr>
          <w:rFonts w:eastAsia="Century Gothic" w:cs="Arial"/>
          <w:b/>
        </w:rPr>
        <w:t xml:space="preserve">Recipient </w:t>
      </w:r>
      <w:r>
        <w:rPr>
          <w:rFonts w:eastAsia="Century Gothic" w:cs="Arial"/>
        </w:rPr>
        <w:t xml:space="preserve">has the meaning given in clause </w:t>
      </w:r>
      <w:r>
        <w:rPr>
          <w:rFonts w:eastAsia="Century Gothic" w:cs="Arial"/>
        </w:rPr>
        <w:fldChar w:fldCharType="begin"/>
      </w:r>
      <w:r>
        <w:rPr>
          <w:rFonts w:eastAsia="Century Gothic" w:cs="Arial"/>
        </w:rPr>
        <w:instrText xml:space="preserve"> REF _Ref10666377 \r \h </w:instrText>
      </w:r>
      <w:r>
        <w:rPr>
          <w:rFonts w:eastAsia="Century Gothic" w:cs="Arial"/>
        </w:rPr>
      </w:r>
      <w:r>
        <w:rPr>
          <w:rFonts w:eastAsia="Century Gothic" w:cs="Arial"/>
        </w:rPr>
        <w:fldChar w:fldCharType="separate"/>
      </w:r>
      <w:r w:rsidR="00082E91">
        <w:rPr>
          <w:rFonts w:eastAsia="Century Gothic" w:cs="Arial"/>
        </w:rPr>
        <w:t>8</w:t>
      </w:r>
      <w:r>
        <w:rPr>
          <w:rFonts w:eastAsia="Century Gothic" w:cs="Arial"/>
        </w:rPr>
        <w:fldChar w:fldCharType="end"/>
      </w:r>
      <w:r>
        <w:rPr>
          <w:rFonts w:eastAsia="Century Gothic" w:cs="Arial"/>
        </w:rPr>
        <w:t>.</w:t>
      </w:r>
    </w:p>
    <w:p w14:paraId="2C239FBB" w14:textId="1823A7E0" w:rsidR="00612E49" w:rsidRPr="00612E49" w:rsidRDefault="00612E49" w:rsidP="00093B43">
      <w:pPr>
        <w:pStyle w:val="BodyText"/>
        <w:rPr>
          <w:rFonts w:eastAsia="Century Gothic" w:cs="Arial"/>
        </w:rPr>
      </w:pPr>
      <w:r>
        <w:rPr>
          <w:rFonts w:eastAsia="Century Gothic" w:cs="Arial"/>
          <w:b/>
        </w:rPr>
        <w:t xml:space="preserve">Records </w:t>
      </w:r>
      <w:r>
        <w:rPr>
          <w:rFonts w:eastAsia="Century Gothic" w:cs="Arial"/>
        </w:rPr>
        <w:t>has the meaning given in clause</w:t>
      </w:r>
      <w:r w:rsidR="00130878">
        <w:rPr>
          <w:rFonts w:eastAsia="Century Gothic" w:cs="Arial"/>
        </w:rPr>
        <w:t xml:space="preserve"> </w:t>
      </w:r>
      <w:r w:rsidR="0002773B">
        <w:rPr>
          <w:rFonts w:eastAsia="Century Gothic" w:cs="Arial"/>
        </w:rPr>
        <w:fldChar w:fldCharType="begin"/>
      </w:r>
      <w:r w:rsidR="0002773B">
        <w:rPr>
          <w:rFonts w:eastAsia="Century Gothic" w:cs="Arial"/>
        </w:rPr>
        <w:instrText xml:space="preserve"> REF _Ref19801209 \w \h </w:instrText>
      </w:r>
      <w:r w:rsidR="0002773B">
        <w:rPr>
          <w:rFonts w:eastAsia="Century Gothic" w:cs="Arial"/>
        </w:rPr>
      </w:r>
      <w:r w:rsidR="0002773B">
        <w:rPr>
          <w:rFonts w:eastAsia="Century Gothic" w:cs="Arial"/>
        </w:rPr>
        <w:fldChar w:fldCharType="separate"/>
      </w:r>
      <w:r w:rsidR="00082E91">
        <w:rPr>
          <w:rFonts w:eastAsia="Century Gothic" w:cs="Arial"/>
        </w:rPr>
        <w:t>6.4</w:t>
      </w:r>
      <w:r w:rsidR="0002773B">
        <w:rPr>
          <w:rFonts w:eastAsia="Century Gothic" w:cs="Arial"/>
        </w:rPr>
        <w:fldChar w:fldCharType="end"/>
      </w:r>
      <w:r>
        <w:rPr>
          <w:rFonts w:eastAsia="Century Gothic" w:cs="Arial"/>
        </w:rPr>
        <w:t>.</w:t>
      </w:r>
    </w:p>
    <w:p w14:paraId="73753C5F" w14:textId="3BE3E742" w:rsidR="00433958" w:rsidRPr="00431085" w:rsidRDefault="00433958" w:rsidP="00564DD2">
      <w:pPr>
        <w:pStyle w:val="BodyText"/>
        <w:rPr>
          <w:rFonts w:eastAsia="Century Gothic" w:cs="Arial"/>
        </w:rPr>
      </w:pPr>
      <w:r>
        <w:rPr>
          <w:rFonts w:eastAsia="Century Gothic" w:cs="Arial"/>
          <w:b/>
        </w:rPr>
        <w:t>Reimbursable Expense</w:t>
      </w:r>
      <w:r>
        <w:rPr>
          <w:rFonts w:eastAsia="Century Gothic" w:cs="Arial"/>
        </w:rPr>
        <w:t xml:space="preserve"> has the meaning given in clause </w:t>
      </w:r>
      <w:r>
        <w:rPr>
          <w:rFonts w:eastAsia="Century Gothic" w:cs="Arial"/>
        </w:rPr>
        <w:fldChar w:fldCharType="begin"/>
      </w:r>
      <w:r>
        <w:rPr>
          <w:rFonts w:eastAsia="Century Gothic" w:cs="Arial"/>
        </w:rPr>
        <w:instrText xml:space="preserve"> REF _Ref22733499 \w \h </w:instrText>
      </w:r>
      <w:r>
        <w:rPr>
          <w:rFonts w:eastAsia="Century Gothic" w:cs="Arial"/>
        </w:rPr>
      </w:r>
      <w:r>
        <w:rPr>
          <w:rFonts w:eastAsia="Century Gothic" w:cs="Arial"/>
        </w:rPr>
        <w:fldChar w:fldCharType="separate"/>
      </w:r>
      <w:r w:rsidR="00082E91">
        <w:rPr>
          <w:rFonts w:eastAsia="Century Gothic" w:cs="Arial"/>
        </w:rPr>
        <w:t>5.5</w:t>
      </w:r>
      <w:r>
        <w:rPr>
          <w:rFonts w:eastAsia="Century Gothic" w:cs="Arial"/>
        </w:rPr>
        <w:fldChar w:fldCharType="end"/>
      </w:r>
      <w:r>
        <w:rPr>
          <w:rFonts w:eastAsia="Century Gothic" w:cs="Arial"/>
        </w:rPr>
        <w:t>.</w:t>
      </w:r>
    </w:p>
    <w:p w14:paraId="6DB39EF3" w14:textId="74739A86" w:rsidR="00042599" w:rsidRPr="00042599" w:rsidRDefault="00042599" w:rsidP="00564DD2">
      <w:pPr>
        <w:pStyle w:val="BodyText"/>
        <w:rPr>
          <w:rFonts w:eastAsia="Century Gothic" w:cs="Arial"/>
        </w:rPr>
      </w:pPr>
      <w:r>
        <w:rPr>
          <w:rFonts w:eastAsia="Century Gothic" w:cs="Arial"/>
          <w:b/>
        </w:rPr>
        <w:t xml:space="preserve">Renewal Period </w:t>
      </w:r>
      <w:r>
        <w:rPr>
          <w:rFonts w:eastAsia="Century Gothic" w:cs="Arial"/>
        </w:rPr>
        <w:t xml:space="preserve">means the period of time specified </w:t>
      </w:r>
      <w:r w:rsidR="001C4CCB">
        <w:rPr>
          <w:rFonts w:eastAsia="Century Gothic" w:cs="Arial"/>
        </w:rPr>
        <w:t xml:space="preserve">as such </w:t>
      </w:r>
      <w:r>
        <w:rPr>
          <w:rFonts w:eastAsia="Century Gothic" w:cs="Arial"/>
        </w:rPr>
        <w:t xml:space="preserve">in Item </w:t>
      </w:r>
      <w:r>
        <w:rPr>
          <w:rFonts w:eastAsia="Century Gothic" w:cs="Arial"/>
        </w:rPr>
        <w:fldChar w:fldCharType="begin"/>
      </w:r>
      <w:r>
        <w:rPr>
          <w:rFonts w:eastAsia="Century Gothic" w:cs="Arial"/>
        </w:rPr>
        <w:instrText xml:space="preserve"> REF _Ref421568145 \w \h </w:instrText>
      </w:r>
      <w:r>
        <w:rPr>
          <w:rFonts w:eastAsia="Century Gothic" w:cs="Arial"/>
        </w:rPr>
      </w:r>
      <w:r>
        <w:rPr>
          <w:rFonts w:eastAsia="Century Gothic" w:cs="Arial"/>
        </w:rPr>
        <w:fldChar w:fldCharType="separate"/>
      </w:r>
      <w:r w:rsidR="00082E91">
        <w:rPr>
          <w:rFonts w:eastAsia="Century Gothic" w:cs="Arial"/>
        </w:rPr>
        <w:t>1</w:t>
      </w:r>
      <w:r>
        <w:rPr>
          <w:rFonts w:eastAsia="Century Gothic" w:cs="Arial"/>
        </w:rPr>
        <w:fldChar w:fldCharType="end"/>
      </w:r>
      <w:r w:rsidR="0021329F">
        <w:rPr>
          <w:rFonts w:eastAsia="Century Gothic" w:cs="Arial"/>
        </w:rPr>
        <w:t xml:space="preserve"> of the Head Agreement De</w:t>
      </w:r>
      <w:r>
        <w:rPr>
          <w:rFonts w:eastAsia="Century Gothic" w:cs="Arial"/>
        </w:rPr>
        <w:t>tails</w:t>
      </w:r>
    </w:p>
    <w:p w14:paraId="2E5DD3CF" w14:textId="0D3B558A" w:rsidR="00442A17" w:rsidRPr="00442A17" w:rsidRDefault="00442A17" w:rsidP="00141391">
      <w:pPr>
        <w:pStyle w:val="BodyText"/>
        <w:rPr>
          <w:rFonts w:eastAsia="Century Gothic" w:cs="Arial"/>
        </w:rPr>
      </w:pPr>
      <w:r>
        <w:rPr>
          <w:rFonts w:eastAsia="Century Gothic" w:cs="Arial"/>
          <w:b/>
        </w:rPr>
        <w:t>Scheme</w:t>
      </w:r>
      <w:r>
        <w:rPr>
          <w:rFonts w:eastAsia="Century Gothic" w:cs="Arial"/>
        </w:rPr>
        <w:t xml:space="preserve"> has the meaning given in Recital </w:t>
      </w:r>
      <w:r w:rsidR="0002773B">
        <w:rPr>
          <w:rFonts w:eastAsia="Century Gothic" w:cs="Arial"/>
        </w:rPr>
        <w:t>C</w:t>
      </w:r>
      <w:r>
        <w:rPr>
          <w:rFonts w:eastAsia="Century Gothic" w:cs="Arial"/>
        </w:rPr>
        <w:t xml:space="preserve">. </w:t>
      </w:r>
    </w:p>
    <w:p w14:paraId="291ECFA2" w14:textId="4CAC3E73" w:rsidR="00082E91" w:rsidRDefault="00082E91" w:rsidP="00082E91">
      <w:pPr>
        <w:pStyle w:val="BodyText"/>
        <w:rPr>
          <w:rFonts w:eastAsia="Century Gothic" w:cs="Arial"/>
        </w:rPr>
      </w:pPr>
      <w:bookmarkStart w:id="207" w:name="_Hlk21376336"/>
      <w:r>
        <w:rPr>
          <w:rFonts w:eastAsia="Century Gothic" w:cs="Arial"/>
          <w:b/>
        </w:rPr>
        <w:t>Scheme Terms and Conditions</w:t>
      </w:r>
      <w:r>
        <w:rPr>
          <w:rFonts w:eastAsia="Century Gothic" w:cs="Arial"/>
        </w:rPr>
        <w:t xml:space="preserve"> means the terms and conditions relating to the Scheme as published at </w:t>
      </w:r>
      <w:hyperlink r:id="rId23" w:history="1">
        <w:r w:rsidR="008362AC" w:rsidRPr="00A66B65">
          <w:rPr>
            <w:rStyle w:val="Hyperlink"/>
          </w:rPr>
          <w:t>www.procurepoint.nsw.gov.au</w:t>
        </w:r>
      </w:hyperlink>
      <w:r w:rsidR="008362AC">
        <w:rPr>
          <w:rStyle w:val="Hyperlink"/>
        </w:rPr>
        <w:t>.</w:t>
      </w:r>
    </w:p>
    <w:bookmarkEnd w:id="207"/>
    <w:p w14:paraId="64397C5E" w14:textId="0B872A87" w:rsidR="00141391" w:rsidRPr="003C29B3" w:rsidRDefault="00141391" w:rsidP="00141391">
      <w:pPr>
        <w:pStyle w:val="BodyText"/>
        <w:rPr>
          <w:rFonts w:eastAsia="Century Gothic" w:cs="Arial"/>
        </w:rPr>
      </w:pPr>
      <w:r>
        <w:rPr>
          <w:rFonts w:eastAsia="Century Gothic" w:cs="Arial"/>
          <w:b/>
        </w:rPr>
        <w:lastRenderedPageBreak/>
        <w:t xml:space="preserve">Service Menu </w:t>
      </w:r>
      <w:r>
        <w:rPr>
          <w:rFonts w:eastAsia="Century Gothic" w:cs="Arial"/>
        </w:rPr>
        <w:t xml:space="preserve">means </w:t>
      </w:r>
      <w:r w:rsidR="00832018">
        <w:rPr>
          <w:rFonts w:eastAsia="Century Gothic" w:cs="Arial"/>
        </w:rPr>
        <w:fldChar w:fldCharType="begin"/>
      </w:r>
      <w:r w:rsidR="00832018">
        <w:rPr>
          <w:rFonts w:eastAsia="Century Gothic" w:cs="Arial"/>
        </w:rPr>
        <w:instrText xml:space="preserve"> REF _Ref22758761 \r \h </w:instrText>
      </w:r>
      <w:r w:rsidR="00832018">
        <w:rPr>
          <w:rFonts w:eastAsia="Century Gothic" w:cs="Arial"/>
        </w:rPr>
      </w:r>
      <w:r w:rsidR="00832018">
        <w:rPr>
          <w:rFonts w:eastAsia="Century Gothic" w:cs="Arial"/>
        </w:rPr>
        <w:fldChar w:fldCharType="separate"/>
      </w:r>
      <w:r w:rsidR="00082E91">
        <w:rPr>
          <w:rFonts w:eastAsia="Century Gothic" w:cs="Arial"/>
        </w:rPr>
        <w:t>Schedule 2</w:t>
      </w:r>
      <w:r w:rsidR="00832018">
        <w:rPr>
          <w:rFonts w:eastAsia="Century Gothic" w:cs="Arial"/>
        </w:rPr>
        <w:fldChar w:fldCharType="end"/>
      </w:r>
      <w:r w:rsidRPr="00EF332C">
        <w:t xml:space="preserve"> (</w:t>
      </w:r>
      <w:r w:rsidRPr="00EF332C">
        <w:rPr>
          <w:rFonts w:eastAsia="Century Gothic" w:cs="Arial"/>
        </w:rPr>
        <w:t>Service Menu</w:t>
      </w:r>
      <w:r w:rsidRPr="00EF332C">
        <w:t>).</w:t>
      </w:r>
    </w:p>
    <w:p w14:paraId="6768E918" w14:textId="27A0399A" w:rsidR="005645D1" w:rsidRPr="00431085" w:rsidRDefault="005645D1" w:rsidP="00965C2F">
      <w:pPr>
        <w:pStyle w:val="BodyText"/>
      </w:pPr>
      <w:r>
        <w:rPr>
          <w:b/>
        </w:rPr>
        <w:t>Statement of Business Ethics</w:t>
      </w:r>
      <w:r>
        <w:t xml:space="preserve"> means the statement of business ethics published at </w:t>
      </w:r>
      <w:hyperlink r:id="rId24" w:history="1">
        <w:r w:rsidR="008362AC" w:rsidRPr="00F51C5A">
          <w:rPr>
            <w:rStyle w:val="Hyperlink"/>
          </w:rPr>
          <w:t>https://www.transport.nsw.gov.au/about-us/who-we-are/culture-and-values</w:t>
        </w:r>
      </w:hyperlink>
      <w:r w:rsidR="008362AC">
        <w:t>.</w:t>
      </w:r>
    </w:p>
    <w:p w14:paraId="6EBE6FFC" w14:textId="2865E0AC" w:rsidR="003A1E40" w:rsidRDefault="00D82BC0" w:rsidP="00965C2F">
      <w:pPr>
        <w:pStyle w:val="BodyText"/>
        <w:rPr>
          <w:b/>
        </w:rPr>
      </w:pPr>
      <w:r>
        <w:rPr>
          <w:b/>
        </w:rPr>
        <w:t>Supplier</w:t>
      </w:r>
      <w:r w:rsidR="003A1E40">
        <w:rPr>
          <w:b/>
        </w:rPr>
        <w:t xml:space="preserve"> </w:t>
      </w:r>
      <w:r w:rsidR="003A1E40">
        <w:t>means</w:t>
      </w:r>
      <w:r w:rsidR="003A1E40">
        <w:rPr>
          <w:rFonts w:cs="Arial"/>
        </w:rPr>
        <w:t xml:space="preserve"> the </w:t>
      </w:r>
      <w:r w:rsidR="003A1E40" w:rsidRPr="00B70722">
        <w:rPr>
          <w:rFonts w:cs="Arial"/>
        </w:rPr>
        <w:t xml:space="preserve">person or body corporate named in the </w:t>
      </w:r>
      <w:r w:rsidR="003467D1">
        <w:rPr>
          <w:rFonts w:cs="Arial"/>
        </w:rPr>
        <w:t>“</w:t>
      </w:r>
      <w:r w:rsidR="003A1E40" w:rsidRPr="00B70722">
        <w:rPr>
          <w:rFonts w:cs="Arial"/>
        </w:rPr>
        <w:t>Parties</w:t>
      </w:r>
      <w:r w:rsidR="003467D1">
        <w:rPr>
          <w:rFonts w:cs="Arial"/>
        </w:rPr>
        <w:t>”</w:t>
      </w:r>
      <w:r w:rsidR="003A1E40" w:rsidRPr="00B70722">
        <w:rPr>
          <w:rFonts w:cs="Arial"/>
        </w:rPr>
        <w:t xml:space="preserve"> section</w:t>
      </w:r>
      <w:r w:rsidR="0021329F">
        <w:rPr>
          <w:rFonts w:cs="Arial"/>
        </w:rPr>
        <w:t xml:space="preserve"> of the Head Agreement Details</w:t>
      </w:r>
      <w:r w:rsidR="003A1E40">
        <w:rPr>
          <w:rFonts w:eastAsia="Century Gothic" w:cs="Arial"/>
        </w:rPr>
        <w:t xml:space="preserve">.  </w:t>
      </w:r>
    </w:p>
    <w:p w14:paraId="6BF33EBC" w14:textId="04CFA40A" w:rsidR="00926287" w:rsidRDefault="00926287" w:rsidP="000A0875">
      <w:pPr>
        <w:pStyle w:val="BodyText"/>
      </w:pPr>
      <w:r>
        <w:rPr>
          <w:b/>
        </w:rPr>
        <w:t xml:space="preserve">Target Budget </w:t>
      </w:r>
      <w:r>
        <w:t xml:space="preserve">has the meaning given in clause </w:t>
      </w:r>
      <w:r>
        <w:fldChar w:fldCharType="begin"/>
      </w:r>
      <w:r>
        <w:instrText xml:space="preserve"> REF _Ref22732939 \w \h </w:instrText>
      </w:r>
      <w:r>
        <w:fldChar w:fldCharType="separate"/>
      </w:r>
      <w:r w:rsidR="00082E91">
        <w:t>5.3</w:t>
      </w:r>
      <w:r>
        <w:fldChar w:fldCharType="end"/>
      </w:r>
      <w:r>
        <w:t>.</w:t>
      </w:r>
    </w:p>
    <w:p w14:paraId="5E755E91" w14:textId="0232A511" w:rsidR="00033534" w:rsidRDefault="00033534" w:rsidP="000A0875">
      <w:pPr>
        <w:pStyle w:val="BodyText"/>
      </w:pPr>
      <w:r w:rsidRPr="0066701D">
        <w:rPr>
          <w:b/>
        </w:rPr>
        <w:t>Term</w:t>
      </w:r>
      <w:r w:rsidRPr="0066701D">
        <w:t xml:space="preserve"> means the period commencing on the Commencement Date </w:t>
      </w:r>
      <w:bookmarkStart w:id="208" w:name="_Hlk11507873"/>
      <w:r w:rsidRPr="0066701D">
        <w:t xml:space="preserve">and </w:t>
      </w:r>
      <w:r w:rsidR="00042599">
        <w:t xml:space="preserve">continuing for the Initial Term and any Renewal </w:t>
      </w:r>
      <w:r w:rsidR="00A70C0E">
        <w:t>Periods</w:t>
      </w:r>
      <w:r w:rsidR="00042599">
        <w:t xml:space="preserve"> (if applicable).  </w:t>
      </w:r>
      <w:bookmarkEnd w:id="208"/>
    </w:p>
    <w:p w14:paraId="76BAAAED" w14:textId="59EFC11E" w:rsidR="00141391" w:rsidRPr="008940C9" w:rsidRDefault="00141391" w:rsidP="00141391">
      <w:pPr>
        <w:pStyle w:val="BodyText"/>
      </w:pPr>
      <w:proofErr w:type="spellStart"/>
      <w:r>
        <w:rPr>
          <w:b/>
        </w:rPr>
        <w:t>TfNSW</w:t>
      </w:r>
      <w:proofErr w:type="spellEnd"/>
      <w:r>
        <w:rPr>
          <w:b/>
        </w:rPr>
        <w:t xml:space="preserve"> </w:t>
      </w:r>
      <w:r w:rsidRPr="008940C9">
        <w:rPr>
          <w:b/>
        </w:rPr>
        <w:t xml:space="preserve">Data </w:t>
      </w:r>
      <w:r w:rsidRPr="008940C9">
        <w:t>means any data or i</w:t>
      </w:r>
      <w:r>
        <w:t xml:space="preserve">nformation </w:t>
      </w:r>
      <w:r w:rsidR="00BC5BB8">
        <w:t xml:space="preserve">including any Personal Information, </w:t>
      </w:r>
      <w:r>
        <w:t xml:space="preserve">in any form: </w:t>
      </w:r>
    </w:p>
    <w:p w14:paraId="2EE87E1B" w14:textId="07792993" w:rsidR="002B1B2C" w:rsidRDefault="00141391" w:rsidP="00141391">
      <w:pPr>
        <w:pStyle w:val="Heading3"/>
        <w:numPr>
          <w:ilvl w:val="2"/>
          <w:numId w:val="10"/>
        </w:numPr>
      </w:pPr>
      <w:proofErr w:type="gramStart"/>
      <w:r w:rsidRPr="008940C9">
        <w:t>provided</w:t>
      </w:r>
      <w:proofErr w:type="gramEnd"/>
      <w:r w:rsidRPr="008940C9">
        <w:t xml:space="preserve"> or made available by </w:t>
      </w:r>
      <w:proofErr w:type="spellStart"/>
      <w:r>
        <w:t>TfNSW</w:t>
      </w:r>
      <w:proofErr w:type="spellEnd"/>
      <w:r>
        <w:t xml:space="preserve"> to the </w:t>
      </w:r>
      <w:bookmarkStart w:id="209" w:name="_Hlk526955260"/>
      <w:r w:rsidR="00D82BC0">
        <w:t>Supplier</w:t>
      </w:r>
      <w:r w:rsidRPr="008940C9">
        <w:t xml:space="preserve"> </w:t>
      </w:r>
      <w:bookmarkEnd w:id="209"/>
      <w:r>
        <w:t>under this Head Agreement;</w:t>
      </w:r>
      <w:r w:rsidRPr="008940C9">
        <w:t xml:space="preserve"> </w:t>
      </w:r>
    </w:p>
    <w:p w14:paraId="723C4D31" w14:textId="7D25CE8C" w:rsidR="00141391" w:rsidRPr="008940C9" w:rsidRDefault="002B1B2C" w:rsidP="00141391">
      <w:pPr>
        <w:pStyle w:val="Heading3"/>
        <w:numPr>
          <w:ilvl w:val="2"/>
          <w:numId w:val="10"/>
        </w:numPr>
      </w:pPr>
      <w:proofErr w:type="gramStart"/>
      <w:r>
        <w:t>provided</w:t>
      </w:r>
      <w:proofErr w:type="gramEnd"/>
      <w:r>
        <w:t xml:space="preserve"> or made available by an Eligible Customer to the Supplier under a Customer Contract; </w:t>
      </w:r>
      <w:r w:rsidR="00141391" w:rsidRPr="008940C9">
        <w:t>or</w:t>
      </w:r>
    </w:p>
    <w:p w14:paraId="0E6A3DD3" w14:textId="6257A5EA" w:rsidR="00141391" w:rsidRPr="00683D39" w:rsidRDefault="00141391" w:rsidP="00141391">
      <w:pPr>
        <w:pStyle w:val="Heading3"/>
        <w:rPr>
          <w:rFonts w:cs="Arial"/>
        </w:rPr>
      </w:pPr>
      <w:r w:rsidRPr="008940C9">
        <w:t xml:space="preserve">stored, created, generated, captured, collected, controlled, managed, processed, transferred or transmitted by the </w:t>
      </w:r>
      <w:r w:rsidR="00BC5BB8">
        <w:t xml:space="preserve">Eligible Customer, </w:t>
      </w:r>
      <w:proofErr w:type="spellStart"/>
      <w:r w:rsidR="00BC5BB8">
        <w:t>TfNSW</w:t>
      </w:r>
      <w:proofErr w:type="spellEnd"/>
      <w:r w:rsidR="00BC5BB8">
        <w:t xml:space="preserve"> or any of their Personnel, or by the </w:t>
      </w:r>
      <w:r w:rsidR="00D82BC0">
        <w:t>Supplier</w:t>
      </w:r>
      <w:r w:rsidRPr="008940C9">
        <w:t xml:space="preserve"> </w:t>
      </w:r>
      <w:r w:rsidR="00BC5BB8">
        <w:t xml:space="preserve">or its Personnel on the Eligible Customer’s behalf </w:t>
      </w:r>
      <w:r w:rsidRPr="008940C9">
        <w:t xml:space="preserve">in the course of performing </w:t>
      </w:r>
      <w:r>
        <w:t>its obligations under this Head Agreement</w:t>
      </w:r>
      <w:r w:rsidR="006300FE">
        <w:t xml:space="preserve"> or a Customer Contract</w:t>
      </w:r>
      <w:r w:rsidR="00BC5BB8">
        <w:t xml:space="preserve"> or using or supplying the Approved Digital Engineering Services</w:t>
      </w:r>
      <w:r>
        <w:t xml:space="preserve">.  </w:t>
      </w:r>
    </w:p>
    <w:p w14:paraId="57B9CA06" w14:textId="77777777" w:rsidR="00515EC3" w:rsidRDefault="00515EC3" w:rsidP="00515EC3">
      <w:pPr>
        <w:pStyle w:val="Sch1"/>
      </w:pPr>
      <w:bookmarkStart w:id="210" w:name="_Ref516051745"/>
      <w:bookmarkStart w:id="211" w:name="_Toc516648651"/>
      <w:bookmarkStart w:id="212" w:name="_Toc516651406"/>
      <w:bookmarkStart w:id="213" w:name="_Toc516761230"/>
      <w:r>
        <w:t>Interpretation</w:t>
      </w:r>
      <w:bookmarkEnd w:id="210"/>
      <w:bookmarkEnd w:id="211"/>
      <w:bookmarkEnd w:id="212"/>
      <w:bookmarkEnd w:id="213"/>
    </w:p>
    <w:p w14:paraId="0D8830DC" w14:textId="425140DD" w:rsidR="00515EC3" w:rsidRDefault="00515EC3" w:rsidP="00515EC3">
      <w:pPr>
        <w:pStyle w:val="Sch3"/>
        <w:numPr>
          <w:ilvl w:val="0"/>
          <w:numId w:val="0"/>
        </w:numPr>
        <w:ind w:left="1134"/>
      </w:pPr>
      <w:r>
        <w:t xml:space="preserve">In </w:t>
      </w:r>
      <w:r w:rsidR="0021329F">
        <w:t>this Head Agreement</w:t>
      </w:r>
      <w:r>
        <w:t>, the following rules of interpretation apply:</w:t>
      </w:r>
    </w:p>
    <w:p w14:paraId="3CC711E2" w14:textId="77777777" w:rsidR="00515EC3" w:rsidRDefault="00515EC3" w:rsidP="00515EC3">
      <w:pPr>
        <w:pStyle w:val="Sch3"/>
      </w:pPr>
      <w:r>
        <w:t xml:space="preserve">headings are for convenience only and do not affect the interpretation of </w:t>
      </w:r>
      <w:r w:rsidR="0021329F">
        <w:t>this Head Agreement</w:t>
      </w:r>
      <w:r>
        <w:t>;</w:t>
      </w:r>
    </w:p>
    <w:p w14:paraId="3C05DA27" w14:textId="77777777" w:rsidR="00515EC3" w:rsidRDefault="00515EC3" w:rsidP="00515EC3">
      <w:pPr>
        <w:pStyle w:val="Sch3"/>
      </w:pPr>
      <w:r>
        <w:t>the singular includes the plural and vice versa;</w:t>
      </w:r>
    </w:p>
    <w:p w14:paraId="478ED5D8" w14:textId="77777777" w:rsidR="00515EC3" w:rsidRDefault="00515EC3" w:rsidP="00515EC3">
      <w:pPr>
        <w:pStyle w:val="Sch3"/>
      </w:pPr>
      <w:r>
        <w:t>words that are gender neutral or gender specific include each gender;</w:t>
      </w:r>
    </w:p>
    <w:p w14:paraId="4DAEAAD7" w14:textId="77777777" w:rsidR="00515EC3" w:rsidRDefault="00515EC3" w:rsidP="00515EC3">
      <w:pPr>
        <w:pStyle w:val="Sch3"/>
      </w:pPr>
      <w:r>
        <w:t>where a word or phrase is given a particular meaning, other parts of speech and grammatical forms of that word or phrase have corresponding meanings;</w:t>
      </w:r>
    </w:p>
    <w:p w14:paraId="40DCDF1C" w14:textId="7F3D03A0" w:rsidR="00515EC3" w:rsidRDefault="00515EC3" w:rsidP="00515EC3">
      <w:pPr>
        <w:pStyle w:val="Sch3"/>
      </w:pPr>
      <w:r>
        <w:t xml:space="preserve">the words </w:t>
      </w:r>
      <w:r w:rsidR="003467D1">
        <w:t>‘</w:t>
      </w:r>
      <w:r>
        <w:t>such as</w:t>
      </w:r>
      <w:r w:rsidR="003467D1">
        <w:t>’</w:t>
      </w:r>
      <w:r>
        <w:t xml:space="preserve">, </w:t>
      </w:r>
      <w:r w:rsidR="003467D1">
        <w:t>‘</w:t>
      </w:r>
      <w:r>
        <w:t>including</w:t>
      </w:r>
      <w:r w:rsidR="003467D1">
        <w:t>’</w:t>
      </w:r>
      <w:r>
        <w:t xml:space="preserve">, </w:t>
      </w:r>
      <w:r w:rsidR="003467D1">
        <w:t>‘</w:t>
      </w:r>
      <w:r>
        <w:t>particularly</w:t>
      </w:r>
      <w:r w:rsidR="003467D1">
        <w:t>’</w:t>
      </w:r>
      <w:r>
        <w:t xml:space="preserve"> and similar expressions are not used as, nor are intended to be interpreted as</w:t>
      </w:r>
      <w:r w:rsidR="004202A4">
        <w:t>,</w:t>
      </w:r>
      <w:r>
        <w:t xml:space="preserve"> words of limitation;</w:t>
      </w:r>
    </w:p>
    <w:p w14:paraId="74680950" w14:textId="77777777" w:rsidR="00515EC3" w:rsidRDefault="00515EC3" w:rsidP="00515EC3">
      <w:pPr>
        <w:pStyle w:val="Sch3"/>
      </w:pPr>
      <w:r>
        <w:t>a reference to:</w:t>
      </w:r>
    </w:p>
    <w:p w14:paraId="563A4197" w14:textId="77777777" w:rsidR="00515EC3" w:rsidRDefault="00515EC3" w:rsidP="00515EC3">
      <w:pPr>
        <w:pStyle w:val="Sch4"/>
      </w:pPr>
      <w:r>
        <w:t>a person includes a natural person, partnership, joint venture, government agency, association, corporation or other body corporate;</w:t>
      </w:r>
    </w:p>
    <w:p w14:paraId="13F31DB1" w14:textId="77777777" w:rsidR="00515EC3" w:rsidRDefault="00515EC3" w:rsidP="00515EC3">
      <w:pPr>
        <w:pStyle w:val="Sch4"/>
      </w:pPr>
      <w:r>
        <w:t>a thing (including a chose in action or other right) includes a part of that thing;</w:t>
      </w:r>
    </w:p>
    <w:p w14:paraId="70C6CEFD" w14:textId="77777777" w:rsidR="00515EC3" w:rsidRDefault="00515EC3" w:rsidP="00515EC3">
      <w:pPr>
        <w:pStyle w:val="Sch4"/>
      </w:pPr>
      <w:r>
        <w:t>a party includes its successors and permitted assigns;</w:t>
      </w:r>
    </w:p>
    <w:p w14:paraId="15FFA8E3" w14:textId="77777777" w:rsidR="00515EC3" w:rsidRDefault="00515EC3" w:rsidP="00515EC3">
      <w:pPr>
        <w:pStyle w:val="Sch4"/>
      </w:pPr>
      <w:r>
        <w:t>a document includes all amendments or supplements to that document;</w:t>
      </w:r>
    </w:p>
    <w:p w14:paraId="0BFED260" w14:textId="77777777" w:rsidR="00515EC3" w:rsidRDefault="00515EC3" w:rsidP="00515EC3">
      <w:pPr>
        <w:pStyle w:val="Sch4"/>
      </w:pPr>
      <w:r>
        <w:lastRenderedPageBreak/>
        <w:t xml:space="preserve">a clause, term, party, schedule or attachment is a reference to a clause or term of, or party, schedule or attachment to </w:t>
      </w:r>
      <w:r w:rsidR="0021329F">
        <w:t>this Head Agreement</w:t>
      </w:r>
      <w:r>
        <w:t>;</w:t>
      </w:r>
    </w:p>
    <w:p w14:paraId="49D97268" w14:textId="77777777" w:rsidR="00515EC3" w:rsidRDefault="00515EC3" w:rsidP="00515EC3">
      <w:pPr>
        <w:pStyle w:val="Sch4"/>
      </w:pPr>
      <w:r>
        <w:t>a law includes a constitutional provision, treaty, decree, convention, statute, regulation, ordinance, by-law, judgment, rule of common law or equity and is a reference to that law as amended, consolidated or replaced; and</w:t>
      </w:r>
    </w:p>
    <w:p w14:paraId="3606EF33" w14:textId="77777777" w:rsidR="00515EC3" w:rsidRDefault="00515EC3" w:rsidP="00515EC3">
      <w:pPr>
        <w:pStyle w:val="Sch4"/>
      </w:pPr>
      <w:r>
        <w:t>a monetary amount is in Australian dollars;</w:t>
      </w:r>
    </w:p>
    <w:p w14:paraId="43135530" w14:textId="77777777" w:rsidR="00515EC3" w:rsidRDefault="00515EC3" w:rsidP="00515EC3">
      <w:pPr>
        <w:pStyle w:val="Sch3"/>
      </w:pPr>
      <w:r>
        <w:t>when the day on which something must be done is not a Business Day, that thing must be done on the following Business Day;</w:t>
      </w:r>
    </w:p>
    <w:p w14:paraId="57B7EE39" w14:textId="77777777" w:rsidR="00515EC3" w:rsidRDefault="00515EC3" w:rsidP="00515EC3">
      <w:pPr>
        <w:pStyle w:val="Sch3"/>
      </w:pPr>
      <w:r>
        <w:t xml:space="preserve">in determining the time of day, where relevant to </w:t>
      </w:r>
      <w:r w:rsidR="0021329F">
        <w:t>this Head Agreement</w:t>
      </w:r>
      <w:r>
        <w:t>, the relevant time of day is:</w:t>
      </w:r>
    </w:p>
    <w:p w14:paraId="463AEE1A" w14:textId="77777777" w:rsidR="00515EC3" w:rsidRDefault="00515EC3" w:rsidP="00515EC3">
      <w:pPr>
        <w:pStyle w:val="Sch4"/>
      </w:pPr>
      <w:r>
        <w:t>for the purposes of giving or receiving notices, the time of day where a party receiving a notice is located; or</w:t>
      </w:r>
    </w:p>
    <w:p w14:paraId="5DCD3CC7" w14:textId="77777777" w:rsidR="00515EC3" w:rsidRDefault="00515EC3" w:rsidP="00515EC3">
      <w:pPr>
        <w:pStyle w:val="Sch4"/>
      </w:pPr>
      <w:r>
        <w:t xml:space="preserve">for any other purpose under </w:t>
      </w:r>
      <w:r w:rsidR="0021329F">
        <w:t>this Head Agreement</w:t>
      </w:r>
      <w:r>
        <w:t>, the time of day in the place where the party required to perform an obligation is located; and</w:t>
      </w:r>
    </w:p>
    <w:p w14:paraId="6B6F2941" w14:textId="228E9AF3" w:rsidR="00C27818" w:rsidRDefault="00515EC3" w:rsidP="00C27818">
      <w:pPr>
        <w:pStyle w:val="Sch3"/>
      </w:pPr>
      <w:proofErr w:type="gramStart"/>
      <w:r>
        <w:t>no</w:t>
      </w:r>
      <w:proofErr w:type="gramEnd"/>
      <w:r>
        <w:t xml:space="preserve"> rule of construction applies to the disadvantage of a party because that party was responsible for the preparation of </w:t>
      </w:r>
      <w:r w:rsidR="0021329F">
        <w:t>this Head Agreement</w:t>
      </w:r>
      <w:r>
        <w:t>.</w:t>
      </w:r>
      <w:r w:rsidR="00C27818" w:rsidRPr="00C27818">
        <w:t xml:space="preserve"> </w:t>
      </w:r>
    </w:p>
    <w:p w14:paraId="05456003" w14:textId="6502B154" w:rsidR="00C27818" w:rsidRDefault="00C27818" w:rsidP="00B7447A">
      <w:pPr>
        <w:pStyle w:val="Heading4"/>
        <w:tabs>
          <w:tab w:val="clear" w:pos="2268"/>
          <w:tab w:val="num" w:pos="1276"/>
        </w:tabs>
        <w:ind w:left="1276"/>
        <w:rPr>
          <w:rFonts w:cs="Arial"/>
          <w:b/>
        </w:rPr>
        <w:sectPr w:rsidR="00C27818" w:rsidSect="005110F7">
          <w:pgSz w:w="11907" w:h="16840" w:code="9"/>
          <w:pgMar w:top="1418" w:right="1134" w:bottom="1701" w:left="1701" w:header="567" w:footer="567" w:gutter="0"/>
          <w:cols w:space="708"/>
          <w:docGrid w:linePitch="360"/>
        </w:sectPr>
      </w:pPr>
      <w:bookmarkStart w:id="214" w:name="_GoBack"/>
      <w:bookmarkEnd w:id="214"/>
    </w:p>
    <w:p w14:paraId="2E9B1542" w14:textId="19E40D4B" w:rsidR="00EF332C" w:rsidRDefault="00EF332C" w:rsidP="001C2DB1">
      <w:pPr>
        <w:pStyle w:val="SchTitleHeading"/>
        <w:numPr>
          <w:ilvl w:val="0"/>
          <w:numId w:val="28"/>
        </w:numPr>
      </w:pPr>
      <w:bookmarkStart w:id="215" w:name="_Toc15419287"/>
      <w:bookmarkStart w:id="216" w:name="_Ref22758761"/>
      <w:r>
        <w:lastRenderedPageBreak/>
        <w:t>Service Menu</w:t>
      </w:r>
      <w:bookmarkEnd w:id="215"/>
      <w:bookmarkEnd w:id="216"/>
    </w:p>
    <w:p w14:paraId="2EF8CD2D" w14:textId="59D31B06" w:rsidR="001C2DB1" w:rsidRPr="001C2DB1" w:rsidRDefault="001C2DB1" w:rsidP="001C2DB1">
      <w:pPr>
        <w:pStyle w:val="BodyText"/>
        <w:ind w:left="0"/>
        <w:rPr>
          <w:b/>
          <w:i/>
        </w:rPr>
      </w:pPr>
    </w:p>
    <w:tbl>
      <w:tblPr>
        <w:tblStyle w:val="GTTable"/>
        <w:tblW w:w="9072" w:type="dxa"/>
        <w:tblInd w:w="-12" w:type="dxa"/>
        <w:tblLayout w:type="fixed"/>
        <w:tblLook w:val="05E0" w:firstRow="1" w:lastRow="1" w:firstColumn="1" w:lastColumn="1" w:noHBand="0" w:noVBand="1"/>
      </w:tblPr>
      <w:tblGrid>
        <w:gridCol w:w="7230"/>
        <w:gridCol w:w="1842"/>
      </w:tblGrid>
      <w:tr w:rsidR="00124CBF" w:rsidRPr="0038126B" w14:paraId="76C753C6" w14:textId="77777777" w:rsidTr="00124CBF">
        <w:trPr>
          <w:cnfStyle w:val="100000000000" w:firstRow="1" w:lastRow="0" w:firstColumn="0" w:lastColumn="0" w:oddVBand="0" w:evenVBand="0" w:oddHBand="0" w:evenHBand="0" w:firstRowFirstColumn="0" w:firstRowLastColumn="0" w:lastRowFirstColumn="0" w:lastRowLastColumn="0"/>
          <w:tblHeader/>
        </w:trPr>
        <w:tc>
          <w:tcPr>
            <w:tcW w:w="7230" w:type="dxa"/>
          </w:tcPr>
          <w:p w14:paraId="3D4C79A8" w14:textId="77777777" w:rsidR="00124CBF" w:rsidRPr="0038126B" w:rsidRDefault="00124CBF" w:rsidP="00124CBF">
            <w:pPr>
              <w:pStyle w:val="BodyText"/>
              <w:ind w:left="0"/>
            </w:pPr>
            <w:r w:rsidRPr="0038126B">
              <w:t>List of Services</w:t>
            </w:r>
          </w:p>
        </w:tc>
        <w:tc>
          <w:tcPr>
            <w:tcW w:w="1842" w:type="dxa"/>
          </w:tcPr>
          <w:p w14:paraId="39E3E4A5" w14:textId="77777777" w:rsidR="00124CBF" w:rsidRPr="0038126B" w:rsidRDefault="00124CBF" w:rsidP="00124CBF">
            <w:pPr>
              <w:pStyle w:val="BodyText"/>
              <w:ind w:left="0"/>
              <w:jc w:val="center"/>
            </w:pPr>
            <w:r w:rsidRPr="0038126B">
              <w:t>Pre-qualified</w:t>
            </w:r>
            <w:r w:rsidRPr="0038126B">
              <w:br/>
              <w:t>Yes/No</w:t>
            </w:r>
          </w:p>
        </w:tc>
      </w:tr>
      <w:tr w:rsidR="00124CBF" w:rsidRPr="0038126B" w14:paraId="6A69BC3C" w14:textId="77777777" w:rsidTr="00124CBF">
        <w:trPr>
          <w:cnfStyle w:val="000000100000" w:firstRow="0" w:lastRow="0" w:firstColumn="0" w:lastColumn="0" w:oddVBand="0" w:evenVBand="0" w:oddHBand="1" w:evenHBand="0" w:firstRowFirstColumn="0" w:firstRowLastColumn="0" w:lastRowFirstColumn="0" w:lastRowLastColumn="0"/>
        </w:trPr>
        <w:tc>
          <w:tcPr>
            <w:tcW w:w="7230" w:type="dxa"/>
            <w:tcBorders>
              <w:top w:val="single" w:sz="8" w:space="0" w:color="auto"/>
            </w:tcBorders>
            <w:shd w:val="clear" w:color="auto" w:fill="B9D9EB"/>
          </w:tcPr>
          <w:p w14:paraId="57E5B7DB" w14:textId="77777777" w:rsidR="00124CBF" w:rsidRPr="0038126B" w:rsidRDefault="00124CBF" w:rsidP="00124CBF">
            <w:pPr>
              <w:pStyle w:val="BodyText"/>
              <w:ind w:left="0"/>
              <w:rPr>
                <w:b/>
              </w:rPr>
            </w:pPr>
            <w:r w:rsidRPr="0038126B">
              <w:rPr>
                <w:b/>
              </w:rPr>
              <w:t>Service 1: Digital Engineering Advisory</w:t>
            </w:r>
          </w:p>
        </w:tc>
        <w:tc>
          <w:tcPr>
            <w:tcW w:w="1842" w:type="dxa"/>
            <w:tcBorders>
              <w:top w:val="single" w:sz="8" w:space="0" w:color="auto"/>
            </w:tcBorders>
            <w:shd w:val="clear" w:color="auto" w:fill="B9D9EB"/>
          </w:tcPr>
          <w:p w14:paraId="22CB402D" w14:textId="77777777" w:rsidR="00124CBF" w:rsidRPr="0038126B" w:rsidRDefault="00124CBF" w:rsidP="00124CBF">
            <w:pPr>
              <w:pStyle w:val="BodyText"/>
              <w:ind w:left="0"/>
              <w:rPr>
                <w:b/>
              </w:rPr>
            </w:pPr>
          </w:p>
        </w:tc>
      </w:tr>
      <w:tr w:rsidR="00124CBF" w:rsidRPr="0038126B" w14:paraId="3C8318E8" w14:textId="77777777" w:rsidTr="00124CBF">
        <w:trPr>
          <w:cnfStyle w:val="000000010000" w:firstRow="0" w:lastRow="0" w:firstColumn="0" w:lastColumn="0" w:oddVBand="0" w:evenVBand="0" w:oddHBand="0" w:evenHBand="1" w:firstRowFirstColumn="0" w:firstRowLastColumn="0" w:lastRowFirstColumn="0" w:lastRowLastColumn="0"/>
        </w:trPr>
        <w:tc>
          <w:tcPr>
            <w:tcW w:w="7230" w:type="dxa"/>
            <w:tcBorders>
              <w:top w:val="single" w:sz="8" w:space="0" w:color="auto"/>
            </w:tcBorders>
            <w:shd w:val="clear" w:color="auto" w:fill="auto"/>
          </w:tcPr>
          <w:p w14:paraId="75674B58" w14:textId="77777777" w:rsidR="00124CBF" w:rsidRPr="0038126B" w:rsidRDefault="00124CBF" w:rsidP="00124CBF">
            <w:pPr>
              <w:pStyle w:val="BodyText"/>
              <w:ind w:left="0"/>
              <w:rPr>
                <w:b/>
              </w:rPr>
            </w:pPr>
            <w:r w:rsidRPr="0038126B">
              <w:rPr>
                <w:b/>
              </w:rPr>
              <w:t>1.1</w:t>
            </w:r>
            <w:r w:rsidRPr="0038126B">
              <w:rPr>
                <w:b/>
              </w:rPr>
              <w:tab/>
              <w:t xml:space="preserve"> Maturity Assessment</w:t>
            </w:r>
          </w:p>
        </w:tc>
        <w:tc>
          <w:tcPr>
            <w:tcW w:w="1842" w:type="dxa"/>
            <w:tcBorders>
              <w:top w:val="single" w:sz="8" w:space="0" w:color="auto"/>
            </w:tcBorders>
            <w:shd w:val="clear" w:color="auto" w:fill="auto"/>
          </w:tcPr>
          <w:p w14:paraId="16C27159" w14:textId="33B0A471" w:rsidR="00124CBF" w:rsidRPr="0038126B" w:rsidRDefault="00124CBF" w:rsidP="00124CBF">
            <w:pPr>
              <w:pStyle w:val="BodyText"/>
              <w:ind w:left="0"/>
              <w:rPr>
                <w:b/>
              </w:rPr>
            </w:pPr>
            <w:r w:rsidRPr="0038126B">
              <w:rPr>
                <w:b/>
              </w:rPr>
              <w:t xml:space="preserve">Yes </w:t>
            </w:r>
            <w:sdt>
              <w:sdtPr>
                <w:rPr>
                  <w:b/>
                </w:rPr>
                <w:id w:val="-672181192"/>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1100376238"/>
                <w14:checkbox>
                  <w14:checked w14:val="0"/>
                  <w14:checkedState w14:val="2612" w14:font="MS Gothic"/>
                  <w14:uncheckedState w14:val="2610" w14:font="MS Gothic"/>
                </w14:checkbox>
              </w:sdtPr>
              <w:sdtContent>
                <w:r w:rsidR="00B2249D">
                  <w:rPr>
                    <w:rFonts w:ascii="MS Gothic" w:eastAsia="MS Gothic" w:hAnsi="MS Gothic" w:hint="eastAsia"/>
                    <w:b/>
                  </w:rPr>
                  <w:t>☐</w:t>
                </w:r>
              </w:sdtContent>
            </w:sdt>
          </w:p>
        </w:tc>
      </w:tr>
      <w:tr w:rsidR="00124CBF" w:rsidRPr="0038126B" w14:paraId="4B842B52" w14:textId="77777777" w:rsidTr="00124CBF">
        <w:trPr>
          <w:cnfStyle w:val="000000100000" w:firstRow="0" w:lastRow="0" w:firstColumn="0" w:lastColumn="0" w:oddVBand="0" w:evenVBand="0" w:oddHBand="1" w:evenHBand="0" w:firstRowFirstColumn="0" w:firstRowLastColumn="0" w:lastRowFirstColumn="0" w:lastRowLastColumn="0"/>
        </w:trPr>
        <w:tc>
          <w:tcPr>
            <w:tcW w:w="7230" w:type="dxa"/>
            <w:shd w:val="clear" w:color="auto" w:fill="auto"/>
          </w:tcPr>
          <w:p w14:paraId="0C5F5141" w14:textId="77777777" w:rsidR="00124CBF" w:rsidRPr="0038126B" w:rsidRDefault="00124CBF" w:rsidP="00124CBF">
            <w:pPr>
              <w:pStyle w:val="BodyText"/>
              <w:ind w:left="0"/>
              <w:rPr>
                <w:b/>
              </w:rPr>
            </w:pPr>
            <w:r w:rsidRPr="0038126B">
              <w:rPr>
                <w:b/>
              </w:rPr>
              <w:t xml:space="preserve">1.2 </w:t>
            </w:r>
            <w:r w:rsidRPr="0038126B">
              <w:rPr>
                <w:b/>
              </w:rPr>
              <w:tab/>
              <w:t>Strategy Development and Planning</w:t>
            </w:r>
          </w:p>
        </w:tc>
        <w:tc>
          <w:tcPr>
            <w:tcW w:w="1842" w:type="dxa"/>
            <w:shd w:val="clear" w:color="auto" w:fill="auto"/>
          </w:tcPr>
          <w:p w14:paraId="3FBCDD57" w14:textId="5ED004EE" w:rsidR="00124CBF" w:rsidRPr="0038126B" w:rsidRDefault="00124CBF" w:rsidP="00124CBF">
            <w:pPr>
              <w:pStyle w:val="BodyText"/>
              <w:ind w:left="0"/>
              <w:rPr>
                <w:b/>
              </w:rPr>
            </w:pPr>
            <w:r w:rsidRPr="0038126B">
              <w:rPr>
                <w:b/>
              </w:rPr>
              <w:t xml:space="preserve">Yes </w:t>
            </w:r>
            <w:sdt>
              <w:sdtPr>
                <w:rPr>
                  <w:b/>
                </w:rPr>
                <w:id w:val="-1553449410"/>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370043937"/>
                <w14:checkbox>
                  <w14:checked w14:val="0"/>
                  <w14:checkedState w14:val="2612" w14:font="MS Gothic"/>
                  <w14:uncheckedState w14:val="2610" w14:font="MS Gothic"/>
                </w14:checkbox>
              </w:sdtPr>
              <w:sdtContent>
                <w:r w:rsidR="00B2249D">
                  <w:rPr>
                    <w:rFonts w:ascii="MS Gothic" w:eastAsia="MS Gothic" w:hAnsi="MS Gothic" w:hint="eastAsia"/>
                    <w:b/>
                  </w:rPr>
                  <w:t>☐</w:t>
                </w:r>
              </w:sdtContent>
            </w:sdt>
          </w:p>
        </w:tc>
      </w:tr>
      <w:tr w:rsidR="00124CBF" w:rsidRPr="0038126B" w14:paraId="5AF876C9" w14:textId="77777777" w:rsidTr="00124CBF">
        <w:trPr>
          <w:cnfStyle w:val="000000010000" w:firstRow="0" w:lastRow="0" w:firstColumn="0" w:lastColumn="0" w:oddVBand="0" w:evenVBand="0" w:oddHBand="0" w:evenHBand="1" w:firstRowFirstColumn="0" w:firstRowLastColumn="0" w:lastRowFirstColumn="0" w:lastRowLastColumn="0"/>
        </w:trPr>
        <w:tc>
          <w:tcPr>
            <w:tcW w:w="7230" w:type="dxa"/>
            <w:shd w:val="clear" w:color="auto" w:fill="auto"/>
          </w:tcPr>
          <w:p w14:paraId="287EC507" w14:textId="77777777" w:rsidR="00124CBF" w:rsidRPr="0038126B" w:rsidRDefault="00124CBF" w:rsidP="00124CBF">
            <w:pPr>
              <w:pStyle w:val="BodyText"/>
              <w:ind w:left="0"/>
              <w:rPr>
                <w:b/>
              </w:rPr>
            </w:pPr>
            <w:r w:rsidRPr="0038126B">
              <w:rPr>
                <w:b/>
              </w:rPr>
              <w:t xml:space="preserve">1.3 </w:t>
            </w:r>
            <w:r w:rsidRPr="0038126B">
              <w:rPr>
                <w:b/>
              </w:rPr>
              <w:tab/>
              <w:t>Organisational Transformation</w:t>
            </w:r>
          </w:p>
        </w:tc>
        <w:tc>
          <w:tcPr>
            <w:tcW w:w="1842" w:type="dxa"/>
            <w:shd w:val="clear" w:color="auto" w:fill="auto"/>
          </w:tcPr>
          <w:p w14:paraId="22596806" w14:textId="2F2BFEC9" w:rsidR="00124CBF" w:rsidRPr="0038126B" w:rsidRDefault="00124CBF" w:rsidP="00124CBF">
            <w:pPr>
              <w:pStyle w:val="BodyText"/>
              <w:ind w:left="0"/>
              <w:rPr>
                <w:b/>
              </w:rPr>
            </w:pPr>
            <w:r w:rsidRPr="0038126B">
              <w:rPr>
                <w:b/>
              </w:rPr>
              <w:t xml:space="preserve">Yes </w:t>
            </w:r>
            <w:sdt>
              <w:sdtPr>
                <w:rPr>
                  <w:b/>
                </w:rPr>
                <w:id w:val="-424728960"/>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1093283690"/>
                <w14:checkbox>
                  <w14:checked w14:val="0"/>
                  <w14:checkedState w14:val="2612" w14:font="MS Gothic"/>
                  <w14:uncheckedState w14:val="2610" w14:font="MS Gothic"/>
                </w14:checkbox>
              </w:sdtPr>
              <w:sdtContent>
                <w:r w:rsidR="00B2249D">
                  <w:rPr>
                    <w:rFonts w:ascii="MS Gothic" w:eastAsia="MS Gothic" w:hAnsi="MS Gothic" w:hint="eastAsia"/>
                    <w:b/>
                  </w:rPr>
                  <w:t>☐</w:t>
                </w:r>
              </w:sdtContent>
            </w:sdt>
          </w:p>
        </w:tc>
      </w:tr>
      <w:tr w:rsidR="00124CBF" w:rsidRPr="0038126B" w14:paraId="28DABD10" w14:textId="77777777" w:rsidTr="00124CBF">
        <w:trPr>
          <w:cnfStyle w:val="000000100000" w:firstRow="0" w:lastRow="0" w:firstColumn="0" w:lastColumn="0" w:oddVBand="0" w:evenVBand="0" w:oddHBand="1" w:evenHBand="0" w:firstRowFirstColumn="0" w:firstRowLastColumn="0" w:lastRowFirstColumn="0" w:lastRowLastColumn="0"/>
        </w:trPr>
        <w:tc>
          <w:tcPr>
            <w:tcW w:w="7230" w:type="dxa"/>
            <w:shd w:val="clear" w:color="auto" w:fill="auto"/>
          </w:tcPr>
          <w:p w14:paraId="08F1D73D" w14:textId="77777777" w:rsidR="00124CBF" w:rsidRPr="0038126B" w:rsidRDefault="00124CBF" w:rsidP="00124CBF">
            <w:pPr>
              <w:pStyle w:val="BodyText"/>
              <w:ind w:left="0"/>
              <w:rPr>
                <w:b/>
              </w:rPr>
            </w:pPr>
            <w:r w:rsidRPr="0038126B">
              <w:rPr>
                <w:b/>
              </w:rPr>
              <w:t xml:space="preserve">1.4 </w:t>
            </w:r>
            <w:r w:rsidRPr="0038126B">
              <w:rPr>
                <w:b/>
              </w:rPr>
              <w:tab/>
              <w:t>Business Case Development</w:t>
            </w:r>
          </w:p>
        </w:tc>
        <w:tc>
          <w:tcPr>
            <w:tcW w:w="1842" w:type="dxa"/>
            <w:shd w:val="clear" w:color="auto" w:fill="auto"/>
          </w:tcPr>
          <w:p w14:paraId="40DAE6F3" w14:textId="009E90D9" w:rsidR="00124CBF" w:rsidRPr="0038126B" w:rsidRDefault="00124CBF" w:rsidP="00124CBF">
            <w:pPr>
              <w:pStyle w:val="BodyText"/>
              <w:ind w:left="0"/>
              <w:rPr>
                <w:b/>
              </w:rPr>
            </w:pPr>
            <w:r w:rsidRPr="0038126B">
              <w:rPr>
                <w:b/>
              </w:rPr>
              <w:t xml:space="preserve">Yes </w:t>
            </w:r>
            <w:sdt>
              <w:sdtPr>
                <w:rPr>
                  <w:b/>
                </w:rPr>
                <w:id w:val="-641736353"/>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1451436182"/>
                <w14:checkbox>
                  <w14:checked w14:val="0"/>
                  <w14:checkedState w14:val="2612" w14:font="MS Gothic"/>
                  <w14:uncheckedState w14:val="2610" w14:font="MS Gothic"/>
                </w14:checkbox>
              </w:sdtPr>
              <w:sdtContent>
                <w:r w:rsidR="00B2249D">
                  <w:rPr>
                    <w:rFonts w:ascii="MS Gothic" w:eastAsia="MS Gothic" w:hAnsi="MS Gothic" w:hint="eastAsia"/>
                    <w:b/>
                  </w:rPr>
                  <w:t>☐</w:t>
                </w:r>
              </w:sdtContent>
            </w:sdt>
          </w:p>
        </w:tc>
      </w:tr>
      <w:tr w:rsidR="00124CBF" w:rsidRPr="0038126B" w14:paraId="0E90BD36" w14:textId="77777777" w:rsidTr="00124CBF">
        <w:trPr>
          <w:cnfStyle w:val="000000010000" w:firstRow="0" w:lastRow="0" w:firstColumn="0" w:lastColumn="0" w:oddVBand="0" w:evenVBand="0" w:oddHBand="0" w:evenHBand="1" w:firstRowFirstColumn="0" w:firstRowLastColumn="0" w:lastRowFirstColumn="0" w:lastRowLastColumn="0"/>
        </w:trPr>
        <w:tc>
          <w:tcPr>
            <w:tcW w:w="7230" w:type="dxa"/>
            <w:shd w:val="clear" w:color="auto" w:fill="auto"/>
          </w:tcPr>
          <w:p w14:paraId="6A93DEE9" w14:textId="77777777" w:rsidR="00124CBF" w:rsidRPr="0038126B" w:rsidRDefault="00124CBF" w:rsidP="00124CBF">
            <w:pPr>
              <w:pStyle w:val="BodyText"/>
              <w:ind w:left="0"/>
              <w:rPr>
                <w:b/>
              </w:rPr>
            </w:pPr>
            <w:r w:rsidRPr="0038126B">
              <w:rPr>
                <w:b/>
              </w:rPr>
              <w:t>1.5</w:t>
            </w:r>
            <w:r w:rsidRPr="0038126B">
              <w:rPr>
                <w:b/>
              </w:rPr>
              <w:tab/>
              <w:t>Change Management</w:t>
            </w:r>
          </w:p>
        </w:tc>
        <w:tc>
          <w:tcPr>
            <w:tcW w:w="1842" w:type="dxa"/>
            <w:shd w:val="clear" w:color="auto" w:fill="auto"/>
          </w:tcPr>
          <w:p w14:paraId="45DB7127" w14:textId="5D7E4D9E" w:rsidR="00124CBF" w:rsidRPr="0038126B" w:rsidRDefault="00124CBF" w:rsidP="00124CBF">
            <w:pPr>
              <w:pStyle w:val="BodyText"/>
              <w:ind w:left="0"/>
              <w:rPr>
                <w:b/>
              </w:rPr>
            </w:pPr>
            <w:r w:rsidRPr="0038126B">
              <w:rPr>
                <w:b/>
              </w:rPr>
              <w:t xml:space="preserve">Yes </w:t>
            </w:r>
            <w:sdt>
              <w:sdtPr>
                <w:rPr>
                  <w:b/>
                </w:rPr>
                <w:id w:val="-1930727202"/>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1557195969"/>
                <w14:checkbox>
                  <w14:checked w14:val="0"/>
                  <w14:checkedState w14:val="2612" w14:font="MS Gothic"/>
                  <w14:uncheckedState w14:val="2610" w14:font="MS Gothic"/>
                </w14:checkbox>
              </w:sdtPr>
              <w:sdtContent>
                <w:r w:rsidR="00B2249D">
                  <w:rPr>
                    <w:rFonts w:ascii="MS Gothic" w:eastAsia="MS Gothic" w:hAnsi="MS Gothic" w:hint="eastAsia"/>
                    <w:b/>
                  </w:rPr>
                  <w:t>☐</w:t>
                </w:r>
              </w:sdtContent>
            </w:sdt>
          </w:p>
        </w:tc>
      </w:tr>
      <w:tr w:rsidR="00124CBF" w:rsidRPr="0038126B" w14:paraId="6BB901C5" w14:textId="77777777" w:rsidTr="00124CBF">
        <w:trPr>
          <w:cnfStyle w:val="000000100000" w:firstRow="0" w:lastRow="0" w:firstColumn="0" w:lastColumn="0" w:oddVBand="0" w:evenVBand="0" w:oddHBand="1" w:evenHBand="0" w:firstRowFirstColumn="0" w:firstRowLastColumn="0" w:lastRowFirstColumn="0" w:lastRowLastColumn="0"/>
        </w:trPr>
        <w:tc>
          <w:tcPr>
            <w:tcW w:w="7230" w:type="dxa"/>
            <w:shd w:val="clear" w:color="auto" w:fill="auto"/>
          </w:tcPr>
          <w:p w14:paraId="61B78480" w14:textId="77777777" w:rsidR="00124CBF" w:rsidRPr="0038126B" w:rsidRDefault="00124CBF" w:rsidP="00124CBF">
            <w:pPr>
              <w:pStyle w:val="BodyText"/>
              <w:keepNext/>
              <w:ind w:left="0"/>
              <w:rPr>
                <w:b/>
              </w:rPr>
            </w:pPr>
            <w:r w:rsidRPr="0038126B">
              <w:rPr>
                <w:b/>
              </w:rPr>
              <w:t>1.6</w:t>
            </w:r>
            <w:r w:rsidRPr="0038126B">
              <w:rPr>
                <w:b/>
              </w:rPr>
              <w:tab/>
              <w:t>Project Management</w:t>
            </w:r>
          </w:p>
        </w:tc>
        <w:tc>
          <w:tcPr>
            <w:tcW w:w="1842" w:type="dxa"/>
            <w:shd w:val="clear" w:color="auto" w:fill="auto"/>
          </w:tcPr>
          <w:p w14:paraId="58631211" w14:textId="65B5F27C" w:rsidR="00124CBF" w:rsidRPr="0038126B" w:rsidRDefault="00124CBF" w:rsidP="00124CBF">
            <w:pPr>
              <w:pStyle w:val="BodyText"/>
              <w:ind w:left="0"/>
              <w:rPr>
                <w:b/>
              </w:rPr>
            </w:pPr>
            <w:r w:rsidRPr="0038126B">
              <w:rPr>
                <w:b/>
              </w:rPr>
              <w:t xml:space="preserve">Yes </w:t>
            </w:r>
            <w:sdt>
              <w:sdtPr>
                <w:rPr>
                  <w:b/>
                </w:rPr>
                <w:id w:val="-1936971108"/>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395820391"/>
                <w14:checkbox>
                  <w14:checked w14:val="0"/>
                  <w14:checkedState w14:val="2612" w14:font="MS Gothic"/>
                  <w14:uncheckedState w14:val="2610" w14:font="MS Gothic"/>
                </w14:checkbox>
              </w:sdtPr>
              <w:sdtContent>
                <w:r w:rsidR="00B2249D">
                  <w:rPr>
                    <w:rFonts w:ascii="MS Gothic" w:eastAsia="MS Gothic" w:hAnsi="MS Gothic" w:hint="eastAsia"/>
                    <w:b/>
                  </w:rPr>
                  <w:t>☐</w:t>
                </w:r>
              </w:sdtContent>
            </w:sdt>
          </w:p>
        </w:tc>
      </w:tr>
      <w:tr w:rsidR="00124CBF" w:rsidRPr="0038126B" w14:paraId="7D422B9A" w14:textId="77777777" w:rsidTr="00124CBF">
        <w:trPr>
          <w:cnfStyle w:val="000000010000" w:firstRow="0" w:lastRow="0" w:firstColumn="0" w:lastColumn="0" w:oddVBand="0" w:evenVBand="0" w:oddHBand="0" w:evenHBand="1" w:firstRowFirstColumn="0" w:firstRowLastColumn="0" w:lastRowFirstColumn="0" w:lastRowLastColumn="0"/>
        </w:trPr>
        <w:tc>
          <w:tcPr>
            <w:tcW w:w="7230" w:type="dxa"/>
            <w:shd w:val="clear" w:color="auto" w:fill="auto"/>
          </w:tcPr>
          <w:p w14:paraId="3385DC7A" w14:textId="77777777" w:rsidR="00124CBF" w:rsidRPr="0038126B" w:rsidRDefault="00124CBF" w:rsidP="00124CBF">
            <w:pPr>
              <w:pStyle w:val="BodyText"/>
              <w:ind w:left="0"/>
              <w:rPr>
                <w:b/>
              </w:rPr>
            </w:pPr>
            <w:r w:rsidRPr="0038126B">
              <w:rPr>
                <w:b/>
              </w:rPr>
              <w:t xml:space="preserve">1.7 </w:t>
            </w:r>
            <w:r w:rsidRPr="0038126B">
              <w:rPr>
                <w:b/>
              </w:rPr>
              <w:tab/>
              <w:t>Procurement</w:t>
            </w:r>
          </w:p>
        </w:tc>
        <w:tc>
          <w:tcPr>
            <w:tcW w:w="1842" w:type="dxa"/>
            <w:shd w:val="clear" w:color="auto" w:fill="auto"/>
          </w:tcPr>
          <w:p w14:paraId="3167FC2E" w14:textId="6E7E25B4" w:rsidR="00124CBF" w:rsidRPr="0038126B" w:rsidRDefault="00124CBF" w:rsidP="00124CBF">
            <w:pPr>
              <w:pStyle w:val="BodyText"/>
              <w:ind w:left="0"/>
              <w:rPr>
                <w:b/>
              </w:rPr>
            </w:pPr>
            <w:r w:rsidRPr="0038126B">
              <w:rPr>
                <w:b/>
              </w:rPr>
              <w:t xml:space="preserve">Yes </w:t>
            </w:r>
            <w:sdt>
              <w:sdtPr>
                <w:rPr>
                  <w:b/>
                </w:rPr>
                <w:id w:val="1947576680"/>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1471875635"/>
                <w14:checkbox>
                  <w14:checked w14:val="0"/>
                  <w14:checkedState w14:val="2612" w14:font="MS Gothic"/>
                  <w14:uncheckedState w14:val="2610" w14:font="MS Gothic"/>
                </w14:checkbox>
              </w:sdtPr>
              <w:sdtContent>
                <w:r w:rsidR="00B2249D">
                  <w:rPr>
                    <w:rFonts w:ascii="MS Gothic" w:eastAsia="MS Gothic" w:hAnsi="MS Gothic" w:hint="eastAsia"/>
                    <w:b/>
                  </w:rPr>
                  <w:t>☐</w:t>
                </w:r>
              </w:sdtContent>
            </w:sdt>
          </w:p>
        </w:tc>
      </w:tr>
      <w:tr w:rsidR="00124CBF" w:rsidRPr="0038126B" w14:paraId="4ED3548E" w14:textId="77777777" w:rsidTr="00124CBF">
        <w:trPr>
          <w:cnfStyle w:val="000000100000" w:firstRow="0" w:lastRow="0" w:firstColumn="0" w:lastColumn="0" w:oddVBand="0" w:evenVBand="0" w:oddHBand="1" w:evenHBand="0" w:firstRowFirstColumn="0" w:firstRowLastColumn="0" w:lastRowFirstColumn="0" w:lastRowLastColumn="0"/>
        </w:trPr>
        <w:tc>
          <w:tcPr>
            <w:tcW w:w="7230" w:type="dxa"/>
            <w:shd w:val="clear" w:color="auto" w:fill="auto"/>
          </w:tcPr>
          <w:p w14:paraId="6E8FAA4E" w14:textId="77777777" w:rsidR="00124CBF" w:rsidRPr="0038126B" w:rsidRDefault="00124CBF" w:rsidP="00124CBF">
            <w:pPr>
              <w:pStyle w:val="BodyText"/>
              <w:ind w:left="0"/>
              <w:rPr>
                <w:b/>
              </w:rPr>
            </w:pPr>
            <w:r w:rsidRPr="0038126B">
              <w:rPr>
                <w:b/>
              </w:rPr>
              <w:t xml:space="preserve">1.8 </w:t>
            </w:r>
            <w:r w:rsidRPr="0038126B">
              <w:rPr>
                <w:b/>
              </w:rPr>
              <w:tab/>
              <w:t>Digital Engineering Management</w:t>
            </w:r>
          </w:p>
        </w:tc>
        <w:tc>
          <w:tcPr>
            <w:tcW w:w="1842" w:type="dxa"/>
            <w:shd w:val="clear" w:color="auto" w:fill="auto"/>
          </w:tcPr>
          <w:p w14:paraId="188559D1" w14:textId="0F3D2A4A" w:rsidR="00124CBF" w:rsidRPr="0038126B" w:rsidRDefault="00124CBF" w:rsidP="00124CBF">
            <w:pPr>
              <w:pStyle w:val="BodyText"/>
              <w:ind w:left="0"/>
              <w:rPr>
                <w:b/>
              </w:rPr>
            </w:pPr>
            <w:r w:rsidRPr="0038126B">
              <w:rPr>
                <w:b/>
              </w:rPr>
              <w:t xml:space="preserve">Yes </w:t>
            </w:r>
            <w:sdt>
              <w:sdtPr>
                <w:rPr>
                  <w:b/>
                </w:rPr>
                <w:id w:val="1066535285"/>
                <w14:checkbox>
                  <w14:checked w14:val="0"/>
                  <w14:checkedState w14:val="2612" w14:font="MS Gothic"/>
                  <w14:uncheckedState w14:val="2610" w14:font="MS Gothic"/>
                </w14:checkbox>
              </w:sdtPr>
              <w:sdtContent>
                <w:r w:rsidR="00B2249D">
                  <w:rPr>
                    <w:rFonts w:ascii="MS Gothic" w:eastAsia="MS Gothic" w:hAnsi="MS Gothic" w:hint="eastAsia"/>
                    <w:b/>
                  </w:rPr>
                  <w:t>☐</w:t>
                </w:r>
              </w:sdtContent>
            </w:sdt>
            <w:r w:rsidRPr="0038126B">
              <w:rPr>
                <w:b/>
              </w:rPr>
              <w:t xml:space="preserve"> No </w:t>
            </w:r>
            <w:sdt>
              <w:sdtPr>
                <w:rPr>
                  <w:b/>
                </w:rPr>
                <w:id w:val="694047677"/>
                <w14:checkbox>
                  <w14:checked w14:val="0"/>
                  <w14:checkedState w14:val="2612" w14:font="MS Gothic"/>
                  <w14:uncheckedState w14:val="2610" w14:font="MS Gothic"/>
                </w14:checkbox>
              </w:sdtPr>
              <w:sdtContent>
                <w:r w:rsidRPr="0038126B">
                  <w:rPr>
                    <w:rFonts w:ascii="MS Gothic" w:eastAsia="MS Gothic" w:hAnsi="MS Gothic" w:hint="eastAsia"/>
                    <w:b/>
                    <w:lang w:val="en-US"/>
                  </w:rPr>
                  <w:t>☐</w:t>
                </w:r>
              </w:sdtContent>
            </w:sdt>
          </w:p>
        </w:tc>
      </w:tr>
      <w:tr w:rsidR="00124CBF" w:rsidRPr="0038126B" w14:paraId="549307CC" w14:textId="77777777" w:rsidTr="00124CBF">
        <w:trPr>
          <w:cnfStyle w:val="000000010000" w:firstRow="0" w:lastRow="0" w:firstColumn="0" w:lastColumn="0" w:oddVBand="0" w:evenVBand="0" w:oddHBand="0" w:evenHBand="1" w:firstRowFirstColumn="0" w:firstRowLastColumn="0" w:lastRowFirstColumn="0" w:lastRowLastColumn="0"/>
        </w:trPr>
        <w:tc>
          <w:tcPr>
            <w:tcW w:w="7230" w:type="dxa"/>
            <w:shd w:val="clear" w:color="auto" w:fill="B9D9EB"/>
          </w:tcPr>
          <w:p w14:paraId="1C5FBD2E" w14:textId="77777777" w:rsidR="00124CBF" w:rsidRPr="0038126B" w:rsidRDefault="00124CBF" w:rsidP="00124CBF">
            <w:pPr>
              <w:pStyle w:val="BodyText"/>
              <w:ind w:left="0"/>
              <w:rPr>
                <w:b/>
              </w:rPr>
            </w:pPr>
            <w:r w:rsidRPr="0038126B">
              <w:rPr>
                <w:b/>
              </w:rPr>
              <w:t>Service 2: Business Processes</w:t>
            </w:r>
          </w:p>
        </w:tc>
        <w:tc>
          <w:tcPr>
            <w:tcW w:w="1842" w:type="dxa"/>
            <w:shd w:val="clear" w:color="auto" w:fill="B9D9EB"/>
          </w:tcPr>
          <w:p w14:paraId="1FE94F47" w14:textId="77777777" w:rsidR="00124CBF" w:rsidRPr="0038126B" w:rsidRDefault="00124CBF" w:rsidP="00124CBF">
            <w:pPr>
              <w:pStyle w:val="BodyText"/>
              <w:ind w:left="0"/>
              <w:rPr>
                <w:b/>
              </w:rPr>
            </w:pPr>
          </w:p>
        </w:tc>
      </w:tr>
      <w:tr w:rsidR="00124CBF" w:rsidRPr="0038126B" w14:paraId="231B0042" w14:textId="77777777" w:rsidTr="00124CBF">
        <w:trPr>
          <w:cnfStyle w:val="000000100000" w:firstRow="0" w:lastRow="0" w:firstColumn="0" w:lastColumn="0" w:oddVBand="0" w:evenVBand="0" w:oddHBand="1" w:evenHBand="0" w:firstRowFirstColumn="0" w:firstRowLastColumn="0" w:lastRowFirstColumn="0" w:lastRowLastColumn="0"/>
        </w:trPr>
        <w:tc>
          <w:tcPr>
            <w:tcW w:w="7230" w:type="dxa"/>
            <w:shd w:val="clear" w:color="auto" w:fill="auto"/>
          </w:tcPr>
          <w:p w14:paraId="279EEF02" w14:textId="77777777" w:rsidR="00124CBF" w:rsidRPr="0038126B" w:rsidRDefault="00124CBF" w:rsidP="00124CBF">
            <w:pPr>
              <w:pStyle w:val="BodyText"/>
              <w:ind w:left="0"/>
              <w:rPr>
                <w:b/>
              </w:rPr>
            </w:pPr>
            <w:r w:rsidRPr="0038126B">
              <w:rPr>
                <w:b/>
              </w:rPr>
              <w:t xml:space="preserve">2.1 </w:t>
            </w:r>
            <w:r w:rsidRPr="0038126B">
              <w:rPr>
                <w:b/>
              </w:rPr>
              <w:tab/>
              <w:t>Business Process Mapping/Re-engineering</w:t>
            </w:r>
          </w:p>
        </w:tc>
        <w:tc>
          <w:tcPr>
            <w:tcW w:w="1842" w:type="dxa"/>
            <w:shd w:val="clear" w:color="auto" w:fill="auto"/>
          </w:tcPr>
          <w:p w14:paraId="1743E7A9" w14:textId="2F8E6807" w:rsidR="00124CBF" w:rsidRPr="0038126B" w:rsidRDefault="00124CBF" w:rsidP="00124CBF">
            <w:pPr>
              <w:pStyle w:val="BodyText"/>
              <w:ind w:left="0"/>
              <w:rPr>
                <w:b/>
              </w:rPr>
            </w:pPr>
            <w:r w:rsidRPr="0038126B">
              <w:rPr>
                <w:b/>
              </w:rPr>
              <w:t xml:space="preserve">Yes </w:t>
            </w:r>
            <w:sdt>
              <w:sdtPr>
                <w:rPr>
                  <w:b/>
                </w:rPr>
                <w:id w:val="1967621280"/>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1364636160"/>
                <w14:checkbox>
                  <w14:checked w14:val="0"/>
                  <w14:checkedState w14:val="2612" w14:font="MS Gothic"/>
                  <w14:uncheckedState w14:val="2610" w14:font="MS Gothic"/>
                </w14:checkbox>
              </w:sdtPr>
              <w:sdtContent>
                <w:r w:rsidR="00B2249D">
                  <w:rPr>
                    <w:rFonts w:ascii="MS Gothic" w:eastAsia="MS Gothic" w:hAnsi="MS Gothic" w:hint="eastAsia"/>
                    <w:b/>
                  </w:rPr>
                  <w:t>☐</w:t>
                </w:r>
              </w:sdtContent>
            </w:sdt>
          </w:p>
        </w:tc>
      </w:tr>
      <w:tr w:rsidR="00124CBF" w:rsidRPr="0038126B" w14:paraId="5AB353E3" w14:textId="77777777" w:rsidTr="00124CBF">
        <w:trPr>
          <w:cnfStyle w:val="000000010000" w:firstRow="0" w:lastRow="0" w:firstColumn="0" w:lastColumn="0" w:oddVBand="0" w:evenVBand="0" w:oddHBand="0" w:evenHBand="1" w:firstRowFirstColumn="0" w:firstRowLastColumn="0" w:lastRowFirstColumn="0" w:lastRowLastColumn="0"/>
        </w:trPr>
        <w:tc>
          <w:tcPr>
            <w:tcW w:w="7230" w:type="dxa"/>
            <w:shd w:val="clear" w:color="auto" w:fill="auto"/>
          </w:tcPr>
          <w:p w14:paraId="5DE5B0DA" w14:textId="77777777" w:rsidR="00124CBF" w:rsidRPr="0038126B" w:rsidRDefault="00124CBF" w:rsidP="00124CBF">
            <w:pPr>
              <w:pStyle w:val="BodyText"/>
              <w:ind w:left="0"/>
              <w:rPr>
                <w:b/>
              </w:rPr>
            </w:pPr>
            <w:r w:rsidRPr="0038126B">
              <w:rPr>
                <w:b/>
              </w:rPr>
              <w:t xml:space="preserve">2.2 </w:t>
            </w:r>
            <w:r w:rsidRPr="0038126B">
              <w:rPr>
                <w:b/>
              </w:rPr>
              <w:tab/>
              <w:t>Integration with Asset Management</w:t>
            </w:r>
          </w:p>
        </w:tc>
        <w:tc>
          <w:tcPr>
            <w:tcW w:w="1842" w:type="dxa"/>
            <w:shd w:val="clear" w:color="auto" w:fill="auto"/>
          </w:tcPr>
          <w:p w14:paraId="4FBE82F8" w14:textId="01736978" w:rsidR="00124CBF" w:rsidRPr="0038126B" w:rsidRDefault="00124CBF" w:rsidP="00124CBF">
            <w:pPr>
              <w:pStyle w:val="BodyText"/>
              <w:ind w:left="0"/>
              <w:rPr>
                <w:b/>
              </w:rPr>
            </w:pPr>
            <w:r w:rsidRPr="0038126B">
              <w:rPr>
                <w:b/>
              </w:rPr>
              <w:t xml:space="preserve">Yes </w:t>
            </w:r>
            <w:sdt>
              <w:sdtPr>
                <w:rPr>
                  <w:b/>
                </w:rPr>
                <w:id w:val="1705284698"/>
                <w14:checkbox>
                  <w14:checked w14:val="0"/>
                  <w14:checkedState w14:val="2612" w14:font="MS Gothic"/>
                  <w14:uncheckedState w14:val="2610" w14:font="MS Gothic"/>
                </w14:checkbox>
              </w:sdtPr>
              <w:sdtContent>
                <w:r w:rsidR="00B2249D">
                  <w:rPr>
                    <w:rFonts w:ascii="MS Gothic" w:eastAsia="MS Gothic" w:hAnsi="MS Gothic" w:hint="eastAsia"/>
                    <w:b/>
                  </w:rPr>
                  <w:t>☐</w:t>
                </w:r>
              </w:sdtContent>
            </w:sdt>
            <w:r w:rsidRPr="0038126B">
              <w:rPr>
                <w:b/>
              </w:rPr>
              <w:t xml:space="preserve"> No </w:t>
            </w:r>
            <w:sdt>
              <w:sdtPr>
                <w:rPr>
                  <w:b/>
                </w:rPr>
                <w:id w:val="-1609045483"/>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p>
        </w:tc>
      </w:tr>
      <w:tr w:rsidR="00124CBF" w:rsidRPr="0038126B" w14:paraId="2A64F4AE" w14:textId="77777777" w:rsidTr="00124CBF">
        <w:trPr>
          <w:cnfStyle w:val="000000100000" w:firstRow="0" w:lastRow="0" w:firstColumn="0" w:lastColumn="0" w:oddVBand="0" w:evenVBand="0" w:oddHBand="1" w:evenHBand="0" w:firstRowFirstColumn="0" w:firstRowLastColumn="0" w:lastRowFirstColumn="0" w:lastRowLastColumn="0"/>
        </w:trPr>
        <w:tc>
          <w:tcPr>
            <w:tcW w:w="7230" w:type="dxa"/>
            <w:shd w:val="clear" w:color="auto" w:fill="auto"/>
          </w:tcPr>
          <w:p w14:paraId="2CA6059B" w14:textId="77777777" w:rsidR="00124CBF" w:rsidRPr="0038126B" w:rsidRDefault="00124CBF" w:rsidP="00124CBF">
            <w:pPr>
              <w:pStyle w:val="BodyText"/>
              <w:ind w:left="0"/>
              <w:rPr>
                <w:b/>
              </w:rPr>
            </w:pPr>
            <w:r w:rsidRPr="0038126B">
              <w:rPr>
                <w:b/>
              </w:rPr>
              <w:t xml:space="preserve">2.3 </w:t>
            </w:r>
            <w:r w:rsidRPr="0038126B">
              <w:rPr>
                <w:b/>
              </w:rPr>
              <w:tab/>
              <w:t>Automation</w:t>
            </w:r>
          </w:p>
        </w:tc>
        <w:tc>
          <w:tcPr>
            <w:tcW w:w="1842" w:type="dxa"/>
            <w:shd w:val="clear" w:color="auto" w:fill="auto"/>
          </w:tcPr>
          <w:p w14:paraId="7831D27D" w14:textId="2E642E58" w:rsidR="00124CBF" w:rsidRPr="0038126B" w:rsidRDefault="00124CBF" w:rsidP="00124CBF">
            <w:pPr>
              <w:pStyle w:val="BodyText"/>
              <w:ind w:left="0"/>
              <w:rPr>
                <w:b/>
              </w:rPr>
            </w:pPr>
            <w:r w:rsidRPr="0038126B">
              <w:rPr>
                <w:b/>
              </w:rPr>
              <w:t xml:space="preserve">Yes </w:t>
            </w:r>
            <w:sdt>
              <w:sdtPr>
                <w:rPr>
                  <w:b/>
                </w:rPr>
                <w:id w:val="-694696665"/>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572116174"/>
                <w14:checkbox>
                  <w14:checked w14:val="0"/>
                  <w14:checkedState w14:val="2612" w14:font="MS Gothic"/>
                  <w14:uncheckedState w14:val="2610" w14:font="MS Gothic"/>
                </w14:checkbox>
              </w:sdtPr>
              <w:sdtContent>
                <w:r w:rsidR="00B2249D">
                  <w:rPr>
                    <w:rFonts w:ascii="MS Gothic" w:eastAsia="MS Gothic" w:hAnsi="MS Gothic" w:hint="eastAsia"/>
                    <w:b/>
                  </w:rPr>
                  <w:t>☐</w:t>
                </w:r>
              </w:sdtContent>
            </w:sdt>
          </w:p>
        </w:tc>
      </w:tr>
      <w:tr w:rsidR="00124CBF" w:rsidRPr="0038126B" w14:paraId="17D79BBC" w14:textId="77777777" w:rsidTr="00124CBF">
        <w:trPr>
          <w:cnfStyle w:val="000000010000" w:firstRow="0" w:lastRow="0" w:firstColumn="0" w:lastColumn="0" w:oddVBand="0" w:evenVBand="0" w:oddHBand="0" w:evenHBand="1" w:firstRowFirstColumn="0" w:firstRowLastColumn="0" w:lastRowFirstColumn="0" w:lastRowLastColumn="0"/>
        </w:trPr>
        <w:tc>
          <w:tcPr>
            <w:tcW w:w="7230" w:type="dxa"/>
            <w:shd w:val="clear" w:color="auto" w:fill="B9D9EB"/>
          </w:tcPr>
          <w:p w14:paraId="7E0B8702" w14:textId="77777777" w:rsidR="00124CBF" w:rsidRPr="0038126B" w:rsidRDefault="00124CBF" w:rsidP="00124CBF">
            <w:pPr>
              <w:pStyle w:val="BodyText"/>
              <w:ind w:left="0"/>
              <w:rPr>
                <w:b/>
              </w:rPr>
            </w:pPr>
            <w:r w:rsidRPr="0038126B">
              <w:rPr>
                <w:b/>
              </w:rPr>
              <w:t>Service 3: Technology Advice</w:t>
            </w:r>
          </w:p>
        </w:tc>
        <w:tc>
          <w:tcPr>
            <w:tcW w:w="1842" w:type="dxa"/>
            <w:shd w:val="clear" w:color="auto" w:fill="B9D9EB"/>
          </w:tcPr>
          <w:p w14:paraId="1B4742BA" w14:textId="77777777" w:rsidR="00124CBF" w:rsidRPr="0038126B" w:rsidRDefault="00124CBF" w:rsidP="00124CBF">
            <w:pPr>
              <w:pStyle w:val="BodyText"/>
              <w:ind w:left="0"/>
              <w:rPr>
                <w:b/>
              </w:rPr>
            </w:pPr>
          </w:p>
        </w:tc>
      </w:tr>
      <w:tr w:rsidR="00124CBF" w:rsidRPr="0038126B" w14:paraId="0AE5C495" w14:textId="77777777" w:rsidTr="00124CBF">
        <w:trPr>
          <w:cnfStyle w:val="000000100000" w:firstRow="0" w:lastRow="0" w:firstColumn="0" w:lastColumn="0" w:oddVBand="0" w:evenVBand="0" w:oddHBand="1" w:evenHBand="0" w:firstRowFirstColumn="0" w:firstRowLastColumn="0" w:lastRowFirstColumn="0" w:lastRowLastColumn="0"/>
        </w:trPr>
        <w:tc>
          <w:tcPr>
            <w:tcW w:w="7230" w:type="dxa"/>
            <w:shd w:val="clear" w:color="auto" w:fill="auto"/>
          </w:tcPr>
          <w:p w14:paraId="457E3DAF" w14:textId="77777777" w:rsidR="00124CBF" w:rsidRPr="0038126B" w:rsidRDefault="00124CBF" w:rsidP="00124CBF">
            <w:pPr>
              <w:pStyle w:val="BodyText"/>
              <w:ind w:left="0"/>
              <w:rPr>
                <w:b/>
              </w:rPr>
            </w:pPr>
            <w:r w:rsidRPr="0038126B">
              <w:rPr>
                <w:b/>
              </w:rPr>
              <w:t xml:space="preserve">3.1 </w:t>
            </w:r>
            <w:r w:rsidRPr="0038126B">
              <w:rPr>
                <w:b/>
              </w:rPr>
              <w:tab/>
              <w:t>Software Requirements and Integration</w:t>
            </w:r>
          </w:p>
        </w:tc>
        <w:tc>
          <w:tcPr>
            <w:tcW w:w="1842" w:type="dxa"/>
            <w:shd w:val="clear" w:color="auto" w:fill="auto"/>
          </w:tcPr>
          <w:p w14:paraId="171139DE" w14:textId="28193E58" w:rsidR="00124CBF" w:rsidRPr="0038126B" w:rsidRDefault="00124CBF" w:rsidP="00124CBF">
            <w:pPr>
              <w:pStyle w:val="BodyText"/>
              <w:ind w:left="0"/>
              <w:rPr>
                <w:b/>
              </w:rPr>
            </w:pPr>
            <w:r w:rsidRPr="0038126B">
              <w:rPr>
                <w:b/>
              </w:rPr>
              <w:t xml:space="preserve">Yes </w:t>
            </w:r>
            <w:sdt>
              <w:sdtPr>
                <w:rPr>
                  <w:b/>
                </w:rPr>
                <w:id w:val="-458189037"/>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479043132"/>
                <w14:checkbox>
                  <w14:checked w14:val="0"/>
                  <w14:checkedState w14:val="2612" w14:font="MS Gothic"/>
                  <w14:uncheckedState w14:val="2610" w14:font="MS Gothic"/>
                </w14:checkbox>
              </w:sdtPr>
              <w:sdtContent>
                <w:r w:rsidR="00B2249D">
                  <w:rPr>
                    <w:rFonts w:ascii="MS Gothic" w:eastAsia="MS Gothic" w:hAnsi="MS Gothic" w:hint="eastAsia"/>
                    <w:b/>
                  </w:rPr>
                  <w:t>☐</w:t>
                </w:r>
              </w:sdtContent>
            </w:sdt>
          </w:p>
        </w:tc>
      </w:tr>
      <w:tr w:rsidR="00124CBF" w:rsidRPr="0038126B" w14:paraId="3598ACB1" w14:textId="77777777" w:rsidTr="00124CBF">
        <w:trPr>
          <w:cnfStyle w:val="000000010000" w:firstRow="0" w:lastRow="0" w:firstColumn="0" w:lastColumn="0" w:oddVBand="0" w:evenVBand="0" w:oddHBand="0" w:evenHBand="1" w:firstRowFirstColumn="0" w:firstRowLastColumn="0" w:lastRowFirstColumn="0" w:lastRowLastColumn="0"/>
        </w:trPr>
        <w:tc>
          <w:tcPr>
            <w:tcW w:w="7230" w:type="dxa"/>
            <w:shd w:val="clear" w:color="auto" w:fill="auto"/>
          </w:tcPr>
          <w:p w14:paraId="2BB32DD2" w14:textId="77777777" w:rsidR="00124CBF" w:rsidRPr="0038126B" w:rsidRDefault="00124CBF" w:rsidP="00124CBF">
            <w:pPr>
              <w:pStyle w:val="BodyText"/>
              <w:ind w:left="0"/>
              <w:rPr>
                <w:b/>
              </w:rPr>
            </w:pPr>
            <w:r w:rsidRPr="0038126B">
              <w:rPr>
                <w:b/>
              </w:rPr>
              <w:t>3.2</w:t>
            </w:r>
            <w:r w:rsidRPr="0038126B">
              <w:rPr>
                <w:b/>
              </w:rPr>
              <w:tab/>
              <w:t>Modelling Platforms</w:t>
            </w:r>
          </w:p>
        </w:tc>
        <w:tc>
          <w:tcPr>
            <w:tcW w:w="1842" w:type="dxa"/>
            <w:shd w:val="clear" w:color="auto" w:fill="auto"/>
          </w:tcPr>
          <w:p w14:paraId="13F192C8" w14:textId="527BC699" w:rsidR="00124CBF" w:rsidRPr="0038126B" w:rsidRDefault="00124CBF" w:rsidP="00124CBF">
            <w:pPr>
              <w:pStyle w:val="BodyText"/>
              <w:ind w:left="0"/>
              <w:rPr>
                <w:b/>
              </w:rPr>
            </w:pPr>
            <w:r w:rsidRPr="0038126B">
              <w:rPr>
                <w:b/>
              </w:rPr>
              <w:t xml:space="preserve">Yes </w:t>
            </w:r>
            <w:sdt>
              <w:sdtPr>
                <w:rPr>
                  <w:b/>
                </w:rPr>
                <w:id w:val="1890388037"/>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2052921641"/>
                <w14:checkbox>
                  <w14:checked w14:val="0"/>
                  <w14:checkedState w14:val="2612" w14:font="MS Gothic"/>
                  <w14:uncheckedState w14:val="2610" w14:font="MS Gothic"/>
                </w14:checkbox>
              </w:sdtPr>
              <w:sdtContent>
                <w:r w:rsidR="00B2249D">
                  <w:rPr>
                    <w:rFonts w:ascii="MS Gothic" w:eastAsia="MS Gothic" w:hAnsi="MS Gothic" w:hint="eastAsia"/>
                    <w:b/>
                  </w:rPr>
                  <w:t>☐</w:t>
                </w:r>
              </w:sdtContent>
            </w:sdt>
          </w:p>
        </w:tc>
      </w:tr>
      <w:tr w:rsidR="00124CBF" w:rsidRPr="0038126B" w14:paraId="46E9E0B7" w14:textId="77777777" w:rsidTr="00124CBF">
        <w:trPr>
          <w:cnfStyle w:val="000000100000" w:firstRow="0" w:lastRow="0" w:firstColumn="0" w:lastColumn="0" w:oddVBand="0" w:evenVBand="0" w:oddHBand="1" w:evenHBand="0" w:firstRowFirstColumn="0" w:firstRowLastColumn="0" w:lastRowFirstColumn="0" w:lastRowLastColumn="0"/>
        </w:trPr>
        <w:tc>
          <w:tcPr>
            <w:tcW w:w="7230" w:type="dxa"/>
            <w:shd w:val="clear" w:color="auto" w:fill="auto"/>
          </w:tcPr>
          <w:p w14:paraId="3D25D852" w14:textId="77777777" w:rsidR="00124CBF" w:rsidRPr="0038126B" w:rsidRDefault="00124CBF" w:rsidP="00124CBF">
            <w:pPr>
              <w:pStyle w:val="BodyText"/>
              <w:ind w:left="0"/>
              <w:rPr>
                <w:b/>
              </w:rPr>
            </w:pPr>
            <w:r w:rsidRPr="0038126B">
              <w:rPr>
                <w:b/>
              </w:rPr>
              <w:t xml:space="preserve">3.3 </w:t>
            </w:r>
            <w:r w:rsidRPr="0038126B">
              <w:rPr>
                <w:b/>
              </w:rPr>
              <w:tab/>
              <w:t>Geospatial Platforms</w:t>
            </w:r>
          </w:p>
        </w:tc>
        <w:tc>
          <w:tcPr>
            <w:tcW w:w="1842" w:type="dxa"/>
            <w:shd w:val="clear" w:color="auto" w:fill="auto"/>
          </w:tcPr>
          <w:p w14:paraId="6FE88958" w14:textId="3742710B" w:rsidR="00124CBF" w:rsidRPr="0038126B" w:rsidRDefault="00124CBF" w:rsidP="00124CBF">
            <w:pPr>
              <w:pStyle w:val="BodyText"/>
              <w:ind w:left="0"/>
              <w:rPr>
                <w:b/>
              </w:rPr>
            </w:pPr>
            <w:r w:rsidRPr="0038126B">
              <w:rPr>
                <w:b/>
              </w:rPr>
              <w:t xml:space="preserve">Yes </w:t>
            </w:r>
            <w:sdt>
              <w:sdtPr>
                <w:rPr>
                  <w:b/>
                </w:rPr>
                <w:id w:val="-280494021"/>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640309335"/>
                <w14:checkbox>
                  <w14:checked w14:val="0"/>
                  <w14:checkedState w14:val="2612" w14:font="MS Gothic"/>
                  <w14:uncheckedState w14:val="2610" w14:font="MS Gothic"/>
                </w14:checkbox>
              </w:sdtPr>
              <w:sdtContent>
                <w:r w:rsidR="00B2249D">
                  <w:rPr>
                    <w:rFonts w:ascii="MS Gothic" w:eastAsia="MS Gothic" w:hAnsi="MS Gothic" w:hint="eastAsia"/>
                    <w:b/>
                  </w:rPr>
                  <w:t>☐</w:t>
                </w:r>
              </w:sdtContent>
            </w:sdt>
          </w:p>
        </w:tc>
      </w:tr>
      <w:tr w:rsidR="00124CBF" w:rsidRPr="0038126B" w14:paraId="7BB8B1E2" w14:textId="77777777" w:rsidTr="00124CBF">
        <w:trPr>
          <w:cnfStyle w:val="000000010000" w:firstRow="0" w:lastRow="0" w:firstColumn="0" w:lastColumn="0" w:oddVBand="0" w:evenVBand="0" w:oddHBand="0" w:evenHBand="1" w:firstRowFirstColumn="0" w:firstRowLastColumn="0" w:lastRowFirstColumn="0" w:lastRowLastColumn="0"/>
        </w:trPr>
        <w:tc>
          <w:tcPr>
            <w:tcW w:w="7230" w:type="dxa"/>
            <w:shd w:val="clear" w:color="auto" w:fill="B9D9EB"/>
          </w:tcPr>
          <w:p w14:paraId="155EAE1D" w14:textId="77777777" w:rsidR="00124CBF" w:rsidRPr="0038126B" w:rsidRDefault="00124CBF" w:rsidP="00124CBF">
            <w:pPr>
              <w:pStyle w:val="BodyText"/>
              <w:ind w:left="0"/>
              <w:rPr>
                <w:b/>
              </w:rPr>
            </w:pPr>
            <w:r w:rsidRPr="0038126B">
              <w:rPr>
                <w:b/>
              </w:rPr>
              <w:t>Service 4: Data Management</w:t>
            </w:r>
          </w:p>
        </w:tc>
        <w:tc>
          <w:tcPr>
            <w:tcW w:w="1842" w:type="dxa"/>
            <w:shd w:val="clear" w:color="auto" w:fill="B9D9EB"/>
          </w:tcPr>
          <w:p w14:paraId="6C4A5C02" w14:textId="77777777" w:rsidR="00124CBF" w:rsidRPr="0038126B" w:rsidRDefault="00124CBF" w:rsidP="00124CBF">
            <w:pPr>
              <w:pStyle w:val="BodyText"/>
              <w:ind w:left="0"/>
              <w:rPr>
                <w:b/>
              </w:rPr>
            </w:pPr>
          </w:p>
        </w:tc>
      </w:tr>
      <w:tr w:rsidR="00124CBF" w:rsidRPr="0038126B" w14:paraId="5DB09F06" w14:textId="77777777" w:rsidTr="00124CBF">
        <w:trPr>
          <w:cnfStyle w:val="000000100000" w:firstRow="0" w:lastRow="0" w:firstColumn="0" w:lastColumn="0" w:oddVBand="0" w:evenVBand="0" w:oddHBand="1" w:evenHBand="0" w:firstRowFirstColumn="0" w:firstRowLastColumn="0" w:lastRowFirstColumn="0" w:lastRowLastColumn="0"/>
        </w:trPr>
        <w:tc>
          <w:tcPr>
            <w:tcW w:w="7230" w:type="dxa"/>
            <w:shd w:val="clear" w:color="auto" w:fill="auto"/>
          </w:tcPr>
          <w:p w14:paraId="778D205C" w14:textId="77777777" w:rsidR="00124CBF" w:rsidRPr="0038126B" w:rsidRDefault="00124CBF" w:rsidP="00124CBF">
            <w:pPr>
              <w:pStyle w:val="BodyText"/>
              <w:ind w:left="0"/>
              <w:rPr>
                <w:b/>
              </w:rPr>
            </w:pPr>
            <w:r w:rsidRPr="0038126B">
              <w:rPr>
                <w:b/>
              </w:rPr>
              <w:t xml:space="preserve">4.1 </w:t>
            </w:r>
            <w:r w:rsidRPr="0038126B">
              <w:rPr>
                <w:b/>
              </w:rPr>
              <w:tab/>
              <w:t>DE Business Architecture</w:t>
            </w:r>
          </w:p>
        </w:tc>
        <w:tc>
          <w:tcPr>
            <w:tcW w:w="1842" w:type="dxa"/>
            <w:shd w:val="clear" w:color="auto" w:fill="auto"/>
          </w:tcPr>
          <w:p w14:paraId="7C1F73F6" w14:textId="5B18B3F7" w:rsidR="00124CBF" w:rsidRPr="0038126B" w:rsidRDefault="00124CBF" w:rsidP="00124CBF">
            <w:pPr>
              <w:pStyle w:val="BodyText"/>
              <w:ind w:left="0"/>
              <w:rPr>
                <w:b/>
              </w:rPr>
            </w:pPr>
            <w:r w:rsidRPr="0038126B">
              <w:rPr>
                <w:b/>
              </w:rPr>
              <w:t xml:space="preserve">Yes </w:t>
            </w:r>
            <w:sdt>
              <w:sdtPr>
                <w:rPr>
                  <w:b/>
                </w:rPr>
                <w:id w:val="-1439835511"/>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578872105"/>
                <w14:checkbox>
                  <w14:checked w14:val="0"/>
                  <w14:checkedState w14:val="2612" w14:font="MS Gothic"/>
                  <w14:uncheckedState w14:val="2610" w14:font="MS Gothic"/>
                </w14:checkbox>
              </w:sdtPr>
              <w:sdtContent>
                <w:r w:rsidR="00B2249D">
                  <w:rPr>
                    <w:rFonts w:ascii="MS Gothic" w:eastAsia="MS Gothic" w:hAnsi="MS Gothic" w:hint="eastAsia"/>
                    <w:b/>
                  </w:rPr>
                  <w:t>☐</w:t>
                </w:r>
              </w:sdtContent>
            </w:sdt>
          </w:p>
        </w:tc>
      </w:tr>
      <w:tr w:rsidR="00124CBF" w:rsidRPr="0038126B" w14:paraId="21BFBD57" w14:textId="77777777" w:rsidTr="00124CBF">
        <w:trPr>
          <w:cnfStyle w:val="000000010000" w:firstRow="0" w:lastRow="0" w:firstColumn="0" w:lastColumn="0" w:oddVBand="0" w:evenVBand="0" w:oddHBand="0" w:evenHBand="1" w:firstRowFirstColumn="0" w:firstRowLastColumn="0" w:lastRowFirstColumn="0" w:lastRowLastColumn="0"/>
        </w:trPr>
        <w:tc>
          <w:tcPr>
            <w:tcW w:w="7230" w:type="dxa"/>
            <w:shd w:val="clear" w:color="auto" w:fill="auto"/>
          </w:tcPr>
          <w:p w14:paraId="5BD1905B" w14:textId="77777777" w:rsidR="00124CBF" w:rsidRPr="0038126B" w:rsidRDefault="00124CBF" w:rsidP="00124CBF">
            <w:pPr>
              <w:pStyle w:val="BodyText"/>
              <w:ind w:left="0"/>
              <w:rPr>
                <w:b/>
              </w:rPr>
            </w:pPr>
            <w:r w:rsidRPr="0038126B">
              <w:rPr>
                <w:b/>
              </w:rPr>
              <w:t xml:space="preserve">4.2 </w:t>
            </w:r>
            <w:r w:rsidRPr="0038126B">
              <w:rPr>
                <w:b/>
              </w:rPr>
              <w:tab/>
              <w:t>Data Schemas and Standards</w:t>
            </w:r>
          </w:p>
        </w:tc>
        <w:tc>
          <w:tcPr>
            <w:tcW w:w="1842" w:type="dxa"/>
            <w:shd w:val="clear" w:color="auto" w:fill="auto"/>
          </w:tcPr>
          <w:p w14:paraId="119BD179" w14:textId="783EA721" w:rsidR="00124CBF" w:rsidRPr="0038126B" w:rsidRDefault="00124CBF" w:rsidP="00124CBF">
            <w:pPr>
              <w:pStyle w:val="BodyText"/>
              <w:ind w:left="0"/>
              <w:rPr>
                <w:b/>
              </w:rPr>
            </w:pPr>
            <w:r w:rsidRPr="0038126B">
              <w:rPr>
                <w:b/>
              </w:rPr>
              <w:t xml:space="preserve">Yes </w:t>
            </w:r>
            <w:sdt>
              <w:sdtPr>
                <w:rPr>
                  <w:b/>
                </w:rPr>
                <w:id w:val="370115919"/>
                <w14:checkbox>
                  <w14:checked w14:val="0"/>
                  <w14:checkedState w14:val="2612" w14:font="MS Gothic"/>
                  <w14:uncheckedState w14:val="2610" w14:font="MS Gothic"/>
                </w14:checkbox>
              </w:sdtPr>
              <w:sdtContent>
                <w:r w:rsidR="00B2249D">
                  <w:rPr>
                    <w:rFonts w:ascii="MS Gothic" w:eastAsia="MS Gothic" w:hAnsi="MS Gothic" w:hint="eastAsia"/>
                    <w:b/>
                  </w:rPr>
                  <w:t>☐</w:t>
                </w:r>
              </w:sdtContent>
            </w:sdt>
            <w:r w:rsidRPr="0038126B">
              <w:rPr>
                <w:b/>
              </w:rPr>
              <w:t xml:space="preserve"> No </w:t>
            </w:r>
            <w:sdt>
              <w:sdtPr>
                <w:rPr>
                  <w:b/>
                </w:rPr>
                <w:id w:val="2059739821"/>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p>
        </w:tc>
      </w:tr>
      <w:tr w:rsidR="00124CBF" w:rsidRPr="0038126B" w14:paraId="640A71FA" w14:textId="77777777" w:rsidTr="00124CBF">
        <w:trPr>
          <w:cnfStyle w:val="000000100000" w:firstRow="0" w:lastRow="0" w:firstColumn="0" w:lastColumn="0" w:oddVBand="0" w:evenVBand="0" w:oddHBand="1" w:evenHBand="0" w:firstRowFirstColumn="0" w:firstRowLastColumn="0" w:lastRowFirstColumn="0" w:lastRowLastColumn="0"/>
        </w:trPr>
        <w:tc>
          <w:tcPr>
            <w:tcW w:w="7230" w:type="dxa"/>
            <w:shd w:val="clear" w:color="auto" w:fill="auto"/>
          </w:tcPr>
          <w:p w14:paraId="53CF76CA" w14:textId="77777777" w:rsidR="00124CBF" w:rsidRPr="0038126B" w:rsidRDefault="00124CBF" w:rsidP="00124CBF">
            <w:pPr>
              <w:pStyle w:val="BodyText"/>
              <w:ind w:left="0"/>
              <w:rPr>
                <w:b/>
              </w:rPr>
            </w:pPr>
            <w:r w:rsidRPr="0038126B">
              <w:rPr>
                <w:b/>
              </w:rPr>
              <w:lastRenderedPageBreak/>
              <w:t xml:space="preserve">4.3 </w:t>
            </w:r>
            <w:r w:rsidRPr="0038126B">
              <w:rPr>
                <w:b/>
              </w:rPr>
              <w:tab/>
              <w:t>Data Migration</w:t>
            </w:r>
          </w:p>
        </w:tc>
        <w:tc>
          <w:tcPr>
            <w:tcW w:w="1842" w:type="dxa"/>
            <w:shd w:val="clear" w:color="auto" w:fill="auto"/>
          </w:tcPr>
          <w:p w14:paraId="590D0876" w14:textId="017E05DA" w:rsidR="00124CBF" w:rsidRPr="0038126B" w:rsidRDefault="00124CBF" w:rsidP="00124CBF">
            <w:pPr>
              <w:pStyle w:val="BodyText"/>
              <w:ind w:left="0"/>
              <w:rPr>
                <w:b/>
              </w:rPr>
            </w:pPr>
            <w:r w:rsidRPr="0038126B">
              <w:rPr>
                <w:b/>
              </w:rPr>
              <w:t xml:space="preserve">Yes </w:t>
            </w:r>
            <w:sdt>
              <w:sdtPr>
                <w:rPr>
                  <w:b/>
                </w:rPr>
                <w:id w:val="810527240"/>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1352540884"/>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124CBF" w:rsidRPr="0038126B" w14:paraId="0BAF2ABC" w14:textId="77777777" w:rsidTr="00124CBF">
        <w:trPr>
          <w:cnfStyle w:val="000000010000" w:firstRow="0" w:lastRow="0" w:firstColumn="0" w:lastColumn="0" w:oddVBand="0" w:evenVBand="0" w:oddHBand="0" w:evenHBand="1" w:firstRowFirstColumn="0" w:firstRowLastColumn="0" w:lastRowFirstColumn="0" w:lastRowLastColumn="0"/>
        </w:trPr>
        <w:tc>
          <w:tcPr>
            <w:tcW w:w="7230" w:type="dxa"/>
            <w:shd w:val="clear" w:color="auto" w:fill="auto"/>
          </w:tcPr>
          <w:p w14:paraId="7FC37F39" w14:textId="77777777" w:rsidR="00124CBF" w:rsidRPr="0038126B" w:rsidRDefault="00124CBF" w:rsidP="00124CBF">
            <w:pPr>
              <w:pStyle w:val="BodyText"/>
              <w:ind w:left="0"/>
              <w:rPr>
                <w:b/>
              </w:rPr>
            </w:pPr>
            <w:r w:rsidRPr="0038126B">
              <w:rPr>
                <w:b/>
              </w:rPr>
              <w:t xml:space="preserve">4.4 </w:t>
            </w:r>
            <w:r w:rsidRPr="0038126B">
              <w:rPr>
                <w:b/>
              </w:rPr>
              <w:tab/>
              <w:t>BIM Object Library</w:t>
            </w:r>
          </w:p>
        </w:tc>
        <w:tc>
          <w:tcPr>
            <w:tcW w:w="1842" w:type="dxa"/>
            <w:shd w:val="clear" w:color="auto" w:fill="auto"/>
          </w:tcPr>
          <w:p w14:paraId="09F4B422" w14:textId="60F82D20" w:rsidR="00124CBF" w:rsidRPr="0038126B" w:rsidRDefault="00124CBF" w:rsidP="00124CBF">
            <w:pPr>
              <w:pStyle w:val="BodyText"/>
              <w:ind w:left="0"/>
              <w:rPr>
                <w:b/>
              </w:rPr>
            </w:pPr>
            <w:r w:rsidRPr="0038126B">
              <w:rPr>
                <w:b/>
              </w:rPr>
              <w:t xml:space="preserve">Yes </w:t>
            </w:r>
            <w:sdt>
              <w:sdtPr>
                <w:rPr>
                  <w:b/>
                </w:rPr>
                <w:id w:val="-1049064850"/>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202091139"/>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124CBF" w:rsidRPr="0038126B" w14:paraId="696D7CF3" w14:textId="77777777" w:rsidTr="00124CBF">
        <w:trPr>
          <w:cnfStyle w:val="000000100000" w:firstRow="0" w:lastRow="0" w:firstColumn="0" w:lastColumn="0" w:oddVBand="0" w:evenVBand="0" w:oddHBand="1" w:evenHBand="0" w:firstRowFirstColumn="0" w:firstRowLastColumn="0" w:lastRowFirstColumn="0" w:lastRowLastColumn="0"/>
        </w:trPr>
        <w:tc>
          <w:tcPr>
            <w:tcW w:w="7230" w:type="dxa"/>
            <w:shd w:val="clear" w:color="auto" w:fill="auto"/>
          </w:tcPr>
          <w:p w14:paraId="5A07327B" w14:textId="77777777" w:rsidR="00124CBF" w:rsidRPr="0038126B" w:rsidRDefault="00124CBF" w:rsidP="00124CBF">
            <w:pPr>
              <w:pStyle w:val="BodyText"/>
              <w:ind w:left="0"/>
              <w:rPr>
                <w:b/>
              </w:rPr>
            </w:pPr>
            <w:r w:rsidRPr="0038126B">
              <w:rPr>
                <w:b/>
              </w:rPr>
              <w:t xml:space="preserve">4.5 </w:t>
            </w:r>
            <w:r w:rsidRPr="0038126B">
              <w:rPr>
                <w:b/>
              </w:rPr>
              <w:tab/>
              <w:t>Large File Management</w:t>
            </w:r>
          </w:p>
        </w:tc>
        <w:tc>
          <w:tcPr>
            <w:tcW w:w="1842" w:type="dxa"/>
            <w:shd w:val="clear" w:color="auto" w:fill="auto"/>
          </w:tcPr>
          <w:p w14:paraId="61287DC3" w14:textId="2BC94652" w:rsidR="00124CBF" w:rsidRPr="0038126B" w:rsidRDefault="00124CBF" w:rsidP="00124CBF">
            <w:pPr>
              <w:pStyle w:val="BodyText"/>
              <w:ind w:left="0"/>
              <w:rPr>
                <w:b/>
              </w:rPr>
            </w:pPr>
            <w:r w:rsidRPr="0038126B">
              <w:rPr>
                <w:b/>
              </w:rPr>
              <w:t xml:space="preserve">Yes </w:t>
            </w:r>
            <w:sdt>
              <w:sdtPr>
                <w:rPr>
                  <w:b/>
                </w:rPr>
                <w:id w:val="2028751551"/>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652446864"/>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124CBF" w:rsidRPr="0038126B" w14:paraId="3E6BE972" w14:textId="77777777" w:rsidTr="00124CBF">
        <w:trPr>
          <w:cnfStyle w:val="000000010000" w:firstRow="0" w:lastRow="0" w:firstColumn="0" w:lastColumn="0" w:oddVBand="0" w:evenVBand="0" w:oddHBand="0" w:evenHBand="1" w:firstRowFirstColumn="0" w:firstRowLastColumn="0" w:lastRowFirstColumn="0" w:lastRowLastColumn="0"/>
        </w:trPr>
        <w:tc>
          <w:tcPr>
            <w:tcW w:w="7230" w:type="dxa"/>
            <w:shd w:val="clear" w:color="auto" w:fill="auto"/>
          </w:tcPr>
          <w:p w14:paraId="285F71B0" w14:textId="77777777" w:rsidR="00124CBF" w:rsidRPr="0038126B" w:rsidRDefault="00124CBF" w:rsidP="00124CBF">
            <w:pPr>
              <w:pStyle w:val="BodyText"/>
              <w:ind w:left="0"/>
              <w:rPr>
                <w:b/>
              </w:rPr>
            </w:pPr>
            <w:r w:rsidRPr="0038126B">
              <w:rPr>
                <w:b/>
              </w:rPr>
              <w:t xml:space="preserve">4.6 </w:t>
            </w:r>
            <w:r w:rsidRPr="0038126B">
              <w:rPr>
                <w:b/>
              </w:rPr>
              <w:tab/>
              <w:t>Data Assurance/Validation</w:t>
            </w:r>
          </w:p>
        </w:tc>
        <w:tc>
          <w:tcPr>
            <w:tcW w:w="1842" w:type="dxa"/>
            <w:shd w:val="clear" w:color="auto" w:fill="auto"/>
          </w:tcPr>
          <w:p w14:paraId="709926A1" w14:textId="297BB797" w:rsidR="00124CBF" w:rsidRPr="0038126B" w:rsidRDefault="00124CBF" w:rsidP="00124CBF">
            <w:pPr>
              <w:pStyle w:val="BodyText"/>
              <w:ind w:left="0"/>
              <w:rPr>
                <w:b/>
              </w:rPr>
            </w:pPr>
            <w:r w:rsidRPr="0038126B">
              <w:rPr>
                <w:b/>
              </w:rPr>
              <w:t xml:space="preserve">Yes </w:t>
            </w:r>
            <w:sdt>
              <w:sdtPr>
                <w:rPr>
                  <w:b/>
                </w:rPr>
                <w:id w:val="1376427605"/>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38126B">
              <w:rPr>
                <w:b/>
              </w:rPr>
              <w:t xml:space="preserve"> No </w:t>
            </w:r>
            <w:sdt>
              <w:sdtPr>
                <w:rPr>
                  <w:b/>
                </w:rPr>
                <w:id w:val="-1971205443"/>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p>
        </w:tc>
      </w:tr>
      <w:tr w:rsidR="00124CBF" w:rsidRPr="0038126B" w14:paraId="700EA8C0" w14:textId="77777777" w:rsidTr="00124CBF">
        <w:trPr>
          <w:cnfStyle w:val="000000100000" w:firstRow="0" w:lastRow="0" w:firstColumn="0" w:lastColumn="0" w:oddVBand="0" w:evenVBand="0" w:oddHBand="1" w:evenHBand="0" w:firstRowFirstColumn="0" w:firstRowLastColumn="0" w:lastRowFirstColumn="0" w:lastRowLastColumn="0"/>
        </w:trPr>
        <w:tc>
          <w:tcPr>
            <w:tcW w:w="7230" w:type="dxa"/>
            <w:shd w:val="clear" w:color="auto" w:fill="B9D9EB"/>
          </w:tcPr>
          <w:p w14:paraId="4CE7971A" w14:textId="77777777" w:rsidR="00124CBF" w:rsidRPr="0038126B" w:rsidRDefault="00124CBF" w:rsidP="00124CBF">
            <w:pPr>
              <w:pStyle w:val="BodyText"/>
              <w:ind w:left="0"/>
              <w:rPr>
                <w:b/>
              </w:rPr>
            </w:pPr>
            <w:r w:rsidRPr="0038126B">
              <w:rPr>
                <w:b/>
              </w:rPr>
              <w:t>Service 5: Modelling and Connected Data</w:t>
            </w:r>
          </w:p>
        </w:tc>
        <w:tc>
          <w:tcPr>
            <w:tcW w:w="1842" w:type="dxa"/>
            <w:shd w:val="clear" w:color="auto" w:fill="B9D9EB"/>
          </w:tcPr>
          <w:p w14:paraId="6B9C8E5E" w14:textId="77777777" w:rsidR="00124CBF" w:rsidRPr="0038126B" w:rsidRDefault="00124CBF" w:rsidP="00124CBF">
            <w:pPr>
              <w:pStyle w:val="BodyText"/>
              <w:ind w:left="0"/>
              <w:rPr>
                <w:b/>
              </w:rPr>
            </w:pPr>
          </w:p>
        </w:tc>
      </w:tr>
      <w:tr w:rsidR="00124CBF" w:rsidRPr="0038126B" w14:paraId="13452977" w14:textId="77777777" w:rsidTr="00124CBF">
        <w:trPr>
          <w:cnfStyle w:val="000000010000" w:firstRow="0" w:lastRow="0" w:firstColumn="0" w:lastColumn="0" w:oddVBand="0" w:evenVBand="0" w:oddHBand="0" w:evenHBand="1" w:firstRowFirstColumn="0" w:firstRowLastColumn="0" w:lastRowFirstColumn="0" w:lastRowLastColumn="0"/>
        </w:trPr>
        <w:tc>
          <w:tcPr>
            <w:tcW w:w="7230" w:type="dxa"/>
            <w:shd w:val="clear" w:color="auto" w:fill="auto"/>
          </w:tcPr>
          <w:p w14:paraId="7D6CD0A5" w14:textId="77777777" w:rsidR="00124CBF" w:rsidRPr="0038126B" w:rsidRDefault="00124CBF" w:rsidP="00124CBF">
            <w:pPr>
              <w:pStyle w:val="BodyText"/>
              <w:ind w:left="0"/>
              <w:rPr>
                <w:b/>
              </w:rPr>
            </w:pPr>
            <w:r w:rsidRPr="0038126B">
              <w:rPr>
                <w:b/>
                <w:color w:val="212121"/>
                <w:w w:val="105"/>
              </w:rPr>
              <w:t xml:space="preserve">5.1 </w:t>
            </w:r>
            <w:r w:rsidRPr="0038126B">
              <w:rPr>
                <w:b/>
                <w:color w:val="212121"/>
                <w:w w:val="105"/>
              </w:rPr>
              <w:tab/>
              <w:t>Model</w:t>
            </w:r>
            <w:r w:rsidRPr="0038126B">
              <w:rPr>
                <w:b/>
                <w:color w:val="212121"/>
                <w:spacing w:val="5"/>
                <w:w w:val="105"/>
              </w:rPr>
              <w:t xml:space="preserve"> </w:t>
            </w:r>
            <w:r w:rsidRPr="0038126B">
              <w:rPr>
                <w:b/>
                <w:color w:val="212121"/>
                <w:w w:val="105"/>
              </w:rPr>
              <w:t>production</w:t>
            </w:r>
          </w:p>
        </w:tc>
        <w:tc>
          <w:tcPr>
            <w:tcW w:w="1842" w:type="dxa"/>
            <w:shd w:val="clear" w:color="auto" w:fill="auto"/>
          </w:tcPr>
          <w:p w14:paraId="528D56BB" w14:textId="5C40B424" w:rsidR="00124CBF" w:rsidRPr="0038126B" w:rsidRDefault="00124CBF" w:rsidP="00124CBF">
            <w:pPr>
              <w:pStyle w:val="BodyText"/>
              <w:ind w:left="0"/>
              <w:rPr>
                <w:b/>
              </w:rPr>
            </w:pPr>
            <w:r w:rsidRPr="0038126B">
              <w:rPr>
                <w:b/>
              </w:rPr>
              <w:t xml:space="preserve">Yes </w:t>
            </w:r>
            <w:sdt>
              <w:sdtPr>
                <w:rPr>
                  <w:b/>
                </w:rPr>
                <w:id w:val="652036490"/>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38126B">
              <w:rPr>
                <w:b/>
              </w:rPr>
              <w:t xml:space="preserve"> No </w:t>
            </w:r>
            <w:sdt>
              <w:sdtPr>
                <w:rPr>
                  <w:b/>
                </w:rPr>
                <w:id w:val="-2104865861"/>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p>
        </w:tc>
      </w:tr>
      <w:tr w:rsidR="00124CBF" w:rsidRPr="0038126B" w14:paraId="0A7C601A" w14:textId="77777777" w:rsidTr="00124CBF">
        <w:trPr>
          <w:cnfStyle w:val="000000100000" w:firstRow="0" w:lastRow="0" w:firstColumn="0" w:lastColumn="0" w:oddVBand="0" w:evenVBand="0" w:oddHBand="1" w:evenHBand="0" w:firstRowFirstColumn="0" w:firstRowLastColumn="0" w:lastRowFirstColumn="0" w:lastRowLastColumn="0"/>
        </w:trPr>
        <w:tc>
          <w:tcPr>
            <w:tcW w:w="7230" w:type="dxa"/>
            <w:shd w:val="clear" w:color="auto" w:fill="auto"/>
          </w:tcPr>
          <w:p w14:paraId="5F54726D" w14:textId="77777777" w:rsidR="00124CBF" w:rsidRPr="0038126B" w:rsidRDefault="00124CBF" w:rsidP="00124CBF">
            <w:pPr>
              <w:pStyle w:val="BodyText"/>
              <w:ind w:left="0"/>
              <w:rPr>
                <w:b/>
              </w:rPr>
            </w:pPr>
            <w:r w:rsidRPr="0038126B">
              <w:rPr>
                <w:b/>
                <w:color w:val="212121"/>
                <w:w w:val="105"/>
              </w:rPr>
              <w:t xml:space="preserve">5.2 </w:t>
            </w:r>
            <w:r w:rsidRPr="0038126B">
              <w:rPr>
                <w:b/>
                <w:color w:val="212121"/>
                <w:w w:val="105"/>
              </w:rPr>
              <w:tab/>
              <w:t>Geospatial</w:t>
            </w:r>
            <w:r w:rsidRPr="0038126B">
              <w:rPr>
                <w:b/>
                <w:color w:val="212121"/>
                <w:spacing w:val="18"/>
                <w:w w:val="105"/>
              </w:rPr>
              <w:t xml:space="preserve"> </w:t>
            </w:r>
            <w:r w:rsidRPr="0038126B">
              <w:rPr>
                <w:b/>
                <w:color w:val="212121"/>
                <w:w w:val="105"/>
              </w:rPr>
              <w:t>production</w:t>
            </w:r>
          </w:p>
        </w:tc>
        <w:tc>
          <w:tcPr>
            <w:tcW w:w="1842" w:type="dxa"/>
            <w:shd w:val="clear" w:color="auto" w:fill="auto"/>
          </w:tcPr>
          <w:p w14:paraId="45B6A247" w14:textId="44C60374" w:rsidR="00124CBF" w:rsidRPr="0038126B" w:rsidRDefault="00124CBF" w:rsidP="00124CBF">
            <w:pPr>
              <w:pStyle w:val="BodyText"/>
              <w:ind w:left="0"/>
              <w:rPr>
                <w:b/>
              </w:rPr>
            </w:pPr>
            <w:r w:rsidRPr="0038126B">
              <w:rPr>
                <w:b/>
              </w:rPr>
              <w:t xml:space="preserve">Yes </w:t>
            </w:r>
            <w:sdt>
              <w:sdtPr>
                <w:rPr>
                  <w:b/>
                </w:rPr>
                <w:id w:val="1909112748"/>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1745015326"/>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124CBF" w:rsidRPr="0038126B" w14:paraId="7646E8AC" w14:textId="77777777" w:rsidTr="00124CBF">
        <w:trPr>
          <w:cnfStyle w:val="000000010000" w:firstRow="0" w:lastRow="0" w:firstColumn="0" w:lastColumn="0" w:oddVBand="0" w:evenVBand="0" w:oddHBand="0" w:evenHBand="1" w:firstRowFirstColumn="0" w:firstRowLastColumn="0" w:lastRowFirstColumn="0" w:lastRowLastColumn="0"/>
        </w:trPr>
        <w:tc>
          <w:tcPr>
            <w:tcW w:w="7230" w:type="dxa"/>
            <w:shd w:val="clear" w:color="auto" w:fill="auto"/>
          </w:tcPr>
          <w:p w14:paraId="607F84E8" w14:textId="77777777" w:rsidR="00124CBF" w:rsidRPr="0038126B" w:rsidRDefault="00124CBF" w:rsidP="00124CBF">
            <w:pPr>
              <w:pStyle w:val="BodyText"/>
              <w:ind w:left="0"/>
              <w:rPr>
                <w:b/>
              </w:rPr>
            </w:pPr>
            <w:r w:rsidRPr="0038126B">
              <w:rPr>
                <w:b/>
                <w:color w:val="212121"/>
              </w:rPr>
              <w:t xml:space="preserve">5.3 </w:t>
            </w:r>
            <w:r w:rsidRPr="0038126B">
              <w:rPr>
                <w:b/>
                <w:color w:val="212121"/>
              </w:rPr>
              <w:tab/>
              <w:t>Connected</w:t>
            </w:r>
            <w:r w:rsidRPr="0038126B">
              <w:rPr>
                <w:b/>
                <w:color w:val="212121"/>
                <w:spacing w:val="31"/>
              </w:rPr>
              <w:t xml:space="preserve"> </w:t>
            </w:r>
            <w:r w:rsidRPr="0038126B">
              <w:rPr>
                <w:b/>
                <w:color w:val="212121"/>
              </w:rPr>
              <w:t>data</w:t>
            </w:r>
          </w:p>
        </w:tc>
        <w:tc>
          <w:tcPr>
            <w:tcW w:w="1842" w:type="dxa"/>
            <w:shd w:val="clear" w:color="auto" w:fill="auto"/>
          </w:tcPr>
          <w:p w14:paraId="171AB2B8" w14:textId="4AB28A16" w:rsidR="00124CBF" w:rsidRPr="0038126B" w:rsidRDefault="00124CBF" w:rsidP="00124CBF">
            <w:pPr>
              <w:pStyle w:val="BodyText"/>
              <w:ind w:left="0"/>
              <w:rPr>
                <w:b/>
              </w:rPr>
            </w:pPr>
            <w:r w:rsidRPr="0038126B">
              <w:rPr>
                <w:b/>
              </w:rPr>
              <w:t xml:space="preserve">Yes </w:t>
            </w:r>
            <w:sdt>
              <w:sdtPr>
                <w:rPr>
                  <w:b/>
                </w:rPr>
                <w:id w:val="1824078753"/>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38126B">
              <w:rPr>
                <w:b/>
              </w:rPr>
              <w:t xml:space="preserve"> No </w:t>
            </w:r>
            <w:sdt>
              <w:sdtPr>
                <w:rPr>
                  <w:b/>
                </w:rPr>
                <w:id w:val="-386031960"/>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p>
        </w:tc>
      </w:tr>
      <w:tr w:rsidR="00124CBF" w:rsidRPr="0038126B" w14:paraId="2C7E0885" w14:textId="77777777" w:rsidTr="00124CBF">
        <w:trPr>
          <w:cnfStyle w:val="000000100000" w:firstRow="0" w:lastRow="0" w:firstColumn="0" w:lastColumn="0" w:oddVBand="0" w:evenVBand="0" w:oddHBand="1" w:evenHBand="0" w:firstRowFirstColumn="0" w:firstRowLastColumn="0" w:lastRowFirstColumn="0" w:lastRowLastColumn="0"/>
        </w:trPr>
        <w:tc>
          <w:tcPr>
            <w:tcW w:w="7230" w:type="dxa"/>
            <w:shd w:val="clear" w:color="auto" w:fill="B9D9EB"/>
          </w:tcPr>
          <w:p w14:paraId="195918A8" w14:textId="77777777" w:rsidR="00124CBF" w:rsidRPr="0038126B" w:rsidRDefault="00124CBF" w:rsidP="00124CBF">
            <w:pPr>
              <w:pStyle w:val="BodyText"/>
              <w:keepNext/>
              <w:ind w:left="0"/>
              <w:rPr>
                <w:b/>
              </w:rPr>
            </w:pPr>
            <w:r w:rsidRPr="0038126B">
              <w:rPr>
                <w:b/>
              </w:rPr>
              <w:t xml:space="preserve">Service 6: Visualisation </w:t>
            </w:r>
          </w:p>
        </w:tc>
        <w:tc>
          <w:tcPr>
            <w:tcW w:w="1842" w:type="dxa"/>
            <w:shd w:val="clear" w:color="auto" w:fill="B9D9EB"/>
          </w:tcPr>
          <w:p w14:paraId="0A13966A" w14:textId="77777777" w:rsidR="00124CBF" w:rsidRPr="0038126B" w:rsidRDefault="00124CBF" w:rsidP="00124CBF">
            <w:pPr>
              <w:pStyle w:val="BodyText"/>
              <w:ind w:left="0"/>
              <w:rPr>
                <w:b/>
              </w:rPr>
            </w:pPr>
          </w:p>
        </w:tc>
      </w:tr>
      <w:tr w:rsidR="00124CBF" w:rsidRPr="0038126B" w14:paraId="04589081" w14:textId="77777777" w:rsidTr="00124CBF">
        <w:trPr>
          <w:cnfStyle w:val="000000010000" w:firstRow="0" w:lastRow="0" w:firstColumn="0" w:lastColumn="0" w:oddVBand="0" w:evenVBand="0" w:oddHBand="0" w:evenHBand="1" w:firstRowFirstColumn="0" w:firstRowLastColumn="0" w:lastRowFirstColumn="0" w:lastRowLastColumn="0"/>
        </w:trPr>
        <w:tc>
          <w:tcPr>
            <w:tcW w:w="7230" w:type="dxa"/>
            <w:shd w:val="clear" w:color="auto" w:fill="auto"/>
          </w:tcPr>
          <w:p w14:paraId="7A19B001" w14:textId="77777777" w:rsidR="00124CBF" w:rsidRPr="0038126B" w:rsidRDefault="00124CBF" w:rsidP="00124CBF">
            <w:pPr>
              <w:pStyle w:val="BodyText"/>
              <w:ind w:left="0"/>
              <w:rPr>
                <w:b/>
              </w:rPr>
            </w:pPr>
            <w:r w:rsidRPr="0038126B">
              <w:rPr>
                <w:b/>
                <w:color w:val="131313"/>
                <w:w w:val="105"/>
              </w:rPr>
              <w:t xml:space="preserve">6.1 </w:t>
            </w:r>
            <w:r w:rsidRPr="0038126B">
              <w:rPr>
                <w:b/>
                <w:color w:val="131313"/>
                <w:w w:val="105"/>
              </w:rPr>
              <w:tab/>
              <w:t>Model Rendering and</w:t>
            </w:r>
            <w:r w:rsidRPr="0038126B">
              <w:rPr>
                <w:b/>
                <w:color w:val="131313"/>
                <w:spacing w:val="29"/>
                <w:w w:val="105"/>
              </w:rPr>
              <w:t xml:space="preserve"> </w:t>
            </w:r>
            <w:r w:rsidRPr="0038126B">
              <w:rPr>
                <w:b/>
                <w:color w:val="131313"/>
                <w:w w:val="105"/>
              </w:rPr>
              <w:t>Animation</w:t>
            </w:r>
          </w:p>
        </w:tc>
        <w:tc>
          <w:tcPr>
            <w:tcW w:w="1842" w:type="dxa"/>
            <w:shd w:val="clear" w:color="auto" w:fill="auto"/>
          </w:tcPr>
          <w:p w14:paraId="46820076" w14:textId="54DEDF57" w:rsidR="00124CBF" w:rsidRPr="0038126B" w:rsidRDefault="00124CBF" w:rsidP="00124CBF">
            <w:pPr>
              <w:pStyle w:val="BodyText"/>
              <w:ind w:left="0"/>
              <w:rPr>
                <w:b/>
              </w:rPr>
            </w:pPr>
            <w:r w:rsidRPr="0038126B">
              <w:rPr>
                <w:b/>
              </w:rPr>
              <w:t xml:space="preserve">Yes </w:t>
            </w:r>
            <w:sdt>
              <w:sdtPr>
                <w:rPr>
                  <w:b/>
                </w:rPr>
                <w:id w:val="1691178794"/>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1144700933"/>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124CBF" w:rsidRPr="0038126B" w14:paraId="16E4E43A" w14:textId="77777777" w:rsidTr="00124CBF">
        <w:trPr>
          <w:cnfStyle w:val="000000100000" w:firstRow="0" w:lastRow="0" w:firstColumn="0" w:lastColumn="0" w:oddVBand="0" w:evenVBand="0" w:oddHBand="1" w:evenHBand="0" w:firstRowFirstColumn="0" w:firstRowLastColumn="0" w:lastRowFirstColumn="0" w:lastRowLastColumn="0"/>
        </w:trPr>
        <w:tc>
          <w:tcPr>
            <w:tcW w:w="7230" w:type="dxa"/>
            <w:shd w:val="clear" w:color="auto" w:fill="auto"/>
          </w:tcPr>
          <w:p w14:paraId="54AC4BFA" w14:textId="77777777" w:rsidR="00124CBF" w:rsidRPr="0038126B" w:rsidRDefault="00124CBF" w:rsidP="00124CBF">
            <w:pPr>
              <w:pStyle w:val="BodyText"/>
              <w:ind w:left="0"/>
              <w:rPr>
                <w:b/>
              </w:rPr>
            </w:pPr>
            <w:r w:rsidRPr="0038126B">
              <w:rPr>
                <w:b/>
              </w:rPr>
              <w:t xml:space="preserve">6.2 </w:t>
            </w:r>
            <w:r w:rsidRPr="0038126B">
              <w:rPr>
                <w:b/>
              </w:rPr>
              <w:tab/>
              <w:t>Augmented Reality</w:t>
            </w:r>
          </w:p>
        </w:tc>
        <w:tc>
          <w:tcPr>
            <w:tcW w:w="1842" w:type="dxa"/>
            <w:shd w:val="clear" w:color="auto" w:fill="auto"/>
          </w:tcPr>
          <w:p w14:paraId="70EB889D" w14:textId="5B7B2DAB" w:rsidR="00124CBF" w:rsidRPr="0038126B" w:rsidRDefault="00124CBF" w:rsidP="00124CBF">
            <w:pPr>
              <w:pStyle w:val="BodyText"/>
              <w:ind w:left="0"/>
              <w:rPr>
                <w:b/>
              </w:rPr>
            </w:pPr>
            <w:r w:rsidRPr="0038126B">
              <w:rPr>
                <w:b/>
              </w:rPr>
              <w:t xml:space="preserve">Yes </w:t>
            </w:r>
            <w:sdt>
              <w:sdtPr>
                <w:rPr>
                  <w:b/>
                </w:rPr>
                <w:id w:val="-861818858"/>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1893331533"/>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124CBF" w:rsidRPr="0038126B" w14:paraId="4A0281FC" w14:textId="77777777" w:rsidTr="00124CBF">
        <w:trPr>
          <w:cnfStyle w:val="000000010000" w:firstRow="0" w:lastRow="0" w:firstColumn="0" w:lastColumn="0" w:oddVBand="0" w:evenVBand="0" w:oddHBand="0" w:evenHBand="1" w:firstRowFirstColumn="0" w:firstRowLastColumn="0" w:lastRowFirstColumn="0" w:lastRowLastColumn="0"/>
        </w:trPr>
        <w:tc>
          <w:tcPr>
            <w:tcW w:w="7230" w:type="dxa"/>
            <w:shd w:val="clear" w:color="auto" w:fill="auto"/>
          </w:tcPr>
          <w:p w14:paraId="66143BD7" w14:textId="77777777" w:rsidR="00124CBF" w:rsidRPr="0038126B" w:rsidRDefault="00124CBF" w:rsidP="00124CBF">
            <w:pPr>
              <w:pStyle w:val="BodyText"/>
              <w:ind w:left="0"/>
              <w:rPr>
                <w:b/>
              </w:rPr>
            </w:pPr>
            <w:r w:rsidRPr="0038126B">
              <w:rPr>
                <w:b/>
              </w:rPr>
              <w:t xml:space="preserve">6.3 </w:t>
            </w:r>
            <w:r w:rsidRPr="0038126B">
              <w:rPr>
                <w:b/>
              </w:rPr>
              <w:tab/>
              <w:t>Virtual Reality</w:t>
            </w:r>
          </w:p>
        </w:tc>
        <w:tc>
          <w:tcPr>
            <w:tcW w:w="1842" w:type="dxa"/>
            <w:shd w:val="clear" w:color="auto" w:fill="auto"/>
          </w:tcPr>
          <w:p w14:paraId="31489ED8" w14:textId="059DD2B5" w:rsidR="00124CBF" w:rsidRPr="0038126B" w:rsidRDefault="00124CBF" w:rsidP="00124CBF">
            <w:pPr>
              <w:pStyle w:val="BodyText"/>
              <w:ind w:left="0"/>
              <w:rPr>
                <w:b/>
              </w:rPr>
            </w:pPr>
            <w:r w:rsidRPr="0038126B">
              <w:rPr>
                <w:b/>
              </w:rPr>
              <w:t xml:space="preserve">Yes </w:t>
            </w:r>
            <w:sdt>
              <w:sdtPr>
                <w:rPr>
                  <w:b/>
                </w:rPr>
                <w:id w:val="7735697"/>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1050355079"/>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124CBF" w:rsidRPr="0038126B" w14:paraId="24569E80" w14:textId="77777777" w:rsidTr="00124CBF">
        <w:trPr>
          <w:cnfStyle w:val="000000100000" w:firstRow="0" w:lastRow="0" w:firstColumn="0" w:lastColumn="0" w:oddVBand="0" w:evenVBand="0" w:oddHBand="1" w:evenHBand="0" w:firstRowFirstColumn="0" w:firstRowLastColumn="0" w:lastRowFirstColumn="0" w:lastRowLastColumn="0"/>
        </w:trPr>
        <w:tc>
          <w:tcPr>
            <w:tcW w:w="7230" w:type="dxa"/>
            <w:shd w:val="clear" w:color="auto" w:fill="B9D9EB"/>
          </w:tcPr>
          <w:p w14:paraId="5D417F41" w14:textId="77777777" w:rsidR="00124CBF" w:rsidRPr="0038126B" w:rsidRDefault="00124CBF" w:rsidP="00124CBF">
            <w:pPr>
              <w:pStyle w:val="BodyText"/>
              <w:ind w:left="0"/>
              <w:rPr>
                <w:b/>
              </w:rPr>
            </w:pPr>
            <w:r w:rsidRPr="0038126B">
              <w:rPr>
                <w:b/>
              </w:rPr>
              <w:t>Service 7: Education and Training</w:t>
            </w:r>
          </w:p>
        </w:tc>
        <w:tc>
          <w:tcPr>
            <w:tcW w:w="1842" w:type="dxa"/>
            <w:shd w:val="clear" w:color="auto" w:fill="B9D9EB"/>
          </w:tcPr>
          <w:p w14:paraId="34BBD13B" w14:textId="77777777" w:rsidR="00124CBF" w:rsidRPr="0038126B" w:rsidRDefault="00124CBF" w:rsidP="00124CBF">
            <w:pPr>
              <w:pStyle w:val="BodyText"/>
              <w:ind w:left="0"/>
              <w:rPr>
                <w:b/>
              </w:rPr>
            </w:pPr>
          </w:p>
        </w:tc>
      </w:tr>
      <w:tr w:rsidR="00124CBF" w:rsidRPr="0038126B" w14:paraId="7D1BF392" w14:textId="77777777" w:rsidTr="00124CBF">
        <w:trPr>
          <w:cnfStyle w:val="000000010000" w:firstRow="0" w:lastRow="0" w:firstColumn="0" w:lastColumn="0" w:oddVBand="0" w:evenVBand="0" w:oddHBand="0" w:evenHBand="1" w:firstRowFirstColumn="0" w:firstRowLastColumn="0" w:lastRowFirstColumn="0" w:lastRowLastColumn="0"/>
        </w:trPr>
        <w:tc>
          <w:tcPr>
            <w:tcW w:w="7230" w:type="dxa"/>
            <w:shd w:val="clear" w:color="auto" w:fill="auto"/>
          </w:tcPr>
          <w:p w14:paraId="2A0B54B7" w14:textId="77777777" w:rsidR="00124CBF" w:rsidRPr="0038126B" w:rsidRDefault="00124CBF" w:rsidP="00124CBF">
            <w:pPr>
              <w:pStyle w:val="BodyText"/>
              <w:ind w:left="0"/>
              <w:rPr>
                <w:b/>
              </w:rPr>
            </w:pPr>
            <w:r w:rsidRPr="0038126B">
              <w:rPr>
                <w:b/>
              </w:rPr>
              <w:t xml:space="preserve">7.1 </w:t>
            </w:r>
            <w:r w:rsidRPr="0038126B">
              <w:rPr>
                <w:b/>
              </w:rPr>
              <w:tab/>
              <w:t>Education</w:t>
            </w:r>
          </w:p>
        </w:tc>
        <w:tc>
          <w:tcPr>
            <w:tcW w:w="1842" w:type="dxa"/>
            <w:shd w:val="clear" w:color="auto" w:fill="auto"/>
          </w:tcPr>
          <w:p w14:paraId="0FBDBD83" w14:textId="7B3DE456" w:rsidR="00124CBF" w:rsidRPr="0038126B" w:rsidRDefault="00124CBF" w:rsidP="00124CBF">
            <w:pPr>
              <w:pStyle w:val="BodyText"/>
              <w:ind w:left="0"/>
              <w:rPr>
                <w:b/>
              </w:rPr>
            </w:pPr>
            <w:r w:rsidRPr="0038126B">
              <w:rPr>
                <w:b/>
              </w:rPr>
              <w:t xml:space="preserve">Yes </w:t>
            </w:r>
            <w:sdt>
              <w:sdtPr>
                <w:rPr>
                  <w:b/>
                </w:rPr>
                <w:id w:val="832191000"/>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267928585"/>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124CBF" w:rsidRPr="0038126B" w14:paraId="0C835D4A" w14:textId="77777777" w:rsidTr="00124CBF">
        <w:trPr>
          <w:cnfStyle w:val="000000100000" w:firstRow="0" w:lastRow="0" w:firstColumn="0" w:lastColumn="0" w:oddVBand="0" w:evenVBand="0" w:oddHBand="1" w:evenHBand="0" w:firstRowFirstColumn="0" w:firstRowLastColumn="0" w:lastRowFirstColumn="0" w:lastRowLastColumn="0"/>
        </w:trPr>
        <w:tc>
          <w:tcPr>
            <w:tcW w:w="7230" w:type="dxa"/>
            <w:shd w:val="clear" w:color="auto" w:fill="auto"/>
          </w:tcPr>
          <w:p w14:paraId="345C35F4" w14:textId="77777777" w:rsidR="00124CBF" w:rsidRPr="0038126B" w:rsidRDefault="00124CBF" w:rsidP="00124CBF">
            <w:pPr>
              <w:pStyle w:val="BodyText"/>
              <w:ind w:left="0"/>
              <w:rPr>
                <w:b/>
              </w:rPr>
            </w:pPr>
            <w:r w:rsidRPr="0038126B">
              <w:rPr>
                <w:b/>
              </w:rPr>
              <w:t xml:space="preserve">7.2 </w:t>
            </w:r>
            <w:r w:rsidRPr="0038126B">
              <w:rPr>
                <w:b/>
              </w:rPr>
              <w:tab/>
              <w:t>Training</w:t>
            </w:r>
          </w:p>
        </w:tc>
        <w:tc>
          <w:tcPr>
            <w:tcW w:w="1842" w:type="dxa"/>
            <w:shd w:val="clear" w:color="auto" w:fill="auto"/>
          </w:tcPr>
          <w:p w14:paraId="508EACAE" w14:textId="5CE9B929" w:rsidR="00124CBF" w:rsidRPr="0038126B" w:rsidRDefault="00124CBF" w:rsidP="00124CBF">
            <w:pPr>
              <w:pStyle w:val="BodyText"/>
              <w:ind w:left="0"/>
              <w:rPr>
                <w:b/>
              </w:rPr>
            </w:pPr>
            <w:r w:rsidRPr="0038126B">
              <w:rPr>
                <w:b/>
              </w:rPr>
              <w:t xml:space="preserve">Yes </w:t>
            </w:r>
            <w:sdt>
              <w:sdtPr>
                <w:rPr>
                  <w:b/>
                </w:rPr>
                <w:id w:val="360797515"/>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38126B">
              <w:rPr>
                <w:b/>
              </w:rPr>
              <w:t xml:space="preserve"> No </w:t>
            </w:r>
            <w:sdt>
              <w:sdtPr>
                <w:rPr>
                  <w:b/>
                </w:rPr>
                <w:id w:val="2043473294"/>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p>
        </w:tc>
      </w:tr>
      <w:tr w:rsidR="00124CBF" w:rsidRPr="0038126B" w14:paraId="6ABA4104" w14:textId="77777777" w:rsidTr="00124CBF">
        <w:trPr>
          <w:cnfStyle w:val="000000010000" w:firstRow="0" w:lastRow="0" w:firstColumn="0" w:lastColumn="0" w:oddVBand="0" w:evenVBand="0" w:oddHBand="0" w:evenHBand="1" w:firstRowFirstColumn="0" w:firstRowLastColumn="0" w:lastRowFirstColumn="0" w:lastRowLastColumn="0"/>
        </w:trPr>
        <w:tc>
          <w:tcPr>
            <w:tcW w:w="7230" w:type="dxa"/>
            <w:shd w:val="clear" w:color="auto" w:fill="B9D9EB"/>
          </w:tcPr>
          <w:p w14:paraId="269E9DB3" w14:textId="77777777" w:rsidR="00124CBF" w:rsidRPr="0038126B" w:rsidRDefault="00124CBF" w:rsidP="00124CBF">
            <w:pPr>
              <w:pStyle w:val="BodyText"/>
              <w:keepNext/>
              <w:ind w:left="0"/>
              <w:rPr>
                <w:b/>
              </w:rPr>
            </w:pPr>
            <w:r w:rsidRPr="0038126B">
              <w:rPr>
                <w:b/>
                <w:w w:val="105"/>
              </w:rPr>
              <w:t>Service 8: Additional Digital Engineering Services</w:t>
            </w:r>
          </w:p>
        </w:tc>
        <w:tc>
          <w:tcPr>
            <w:tcW w:w="1842" w:type="dxa"/>
            <w:shd w:val="clear" w:color="auto" w:fill="B9D9EB"/>
          </w:tcPr>
          <w:p w14:paraId="2E14B040" w14:textId="77777777" w:rsidR="00124CBF" w:rsidRPr="0038126B" w:rsidRDefault="00124CBF" w:rsidP="00124CBF">
            <w:pPr>
              <w:pStyle w:val="BodyText"/>
              <w:ind w:left="0"/>
              <w:rPr>
                <w:b/>
              </w:rPr>
            </w:pPr>
          </w:p>
        </w:tc>
      </w:tr>
      <w:tr w:rsidR="00124CBF" w:rsidRPr="0038126B" w14:paraId="1E0A0245" w14:textId="77777777" w:rsidTr="00124CBF">
        <w:trPr>
          <w:cnfStyle w:val="010000000000" w:firstRow="0" w:lastRow="1" w:firstColumn="0" w:lastColumn="0" w:oddVBand="0" w:evenVBand="0" w:oddHBand="0" w:evenHBand="0" w:firstRowFirstColumn="0" w:firstRowLastColumn="0" w:lastRowFirstColumn="0" w:lastRowLastColumn="0"/>
        </w:trPr>
        <w:tc>
          <w:tcPr>
            <w:tcW w:w="7230" w:type="dxa"/>
            <w:shd w:val="clear" w:color="auto" w:fill="auto"/>
          </w:tcPr>
          <w:p w14:paraId="065D3862" w14:textId="77777777" w:rsidR="00124CBF" w:rsidRPr="0038126B" w:rsidRDefault="00124CBF" w:rsidP="00124CBF">
            <w:pPr>
              <w:pStyle w:val="BodyText"/>
              <w:keepNext/>
              <w:ind w:left="0"/>
              <w:rPr>
                <w:b/>
              </w:rPr>
            </w:pPr>
            <w:r w:rsidRPr="0038126B">
              <w:rPr>
                <w:b/>
                <w:color w:val="131313"/>
                <w:w w:val="105"/>
              </w:rPr>
              <w:t xml:space="preserve">8.1 </w:t>
            </w:r>
            <w:r w:rsidRPr="0038126B">
              <w:rPr>
                <w:b/>
                <w:color w:val="131313"/>
                <w:w w:val="105"/>
              </w:rPr>
              <w:tab/>
              <w:t>Additional digital services not</w:t>
            </w:r>
            <w:r w:rsidRPr="0038126B">
              <w:rPr>
                <w:b/>
                <w:color w:val="131313"/>
                <w:spacing w:val="22"/>
                <w:w w:val="105"/>
              </w:rPr>
              <w:t xml:space="preserve"> </w:t>
            </w:r>
            <w:r w:rsidRPr="0038126B">
              <w:rPr>
                <w:b/>
                <w:color w:val="131313"/>
                <w:w w:val="105"/>
              </w:rPr>
              <w:t>listed</w:t>
            </w:r>
          </w:p>
        </w:tc>
        <w:tc>
          <w:tcPr>
            <w:tcW w:w="1842" w:type="dxa"/>
            <w:shd w:val="clear" w:color="auto" w:fill="auto"/>
          </w:tcPr>
          <w:p w14:paraId="4148B9BB" w14:textId="4E2A7ED1" w:rsidR="00124CBF" w:rsidRPr="0038126B" w:rsidRDefault="00124CBF" w:rsidP="00124CBF">
            <w:pPr>
              <w:pStyle w:val="BodyText"/>
              <w:ind w:left="0"/>
              <w:rPr>
                <w:b/>
              </w:rPr>
            </w:pPr>
            <w:r w:rsidRPr="0038126B">
              <w:rPr>
                <w:b/>
              </w:rPr>
              <w:t xml:space="preserve">Yes </w:t>
            </w:r>
            <w:sdt>
              <w:sdtPr>
                <w:rPr>
                  <w:b/>
                </w:rPr>
                <w:id w:val="-386648665"/>
                <w14:checkbox>
                  <w14:checked w14:val="0"/>
                  <w14:checkedState w14:val="2612" w14:font="MS Gothic"/>
                  <w14:uncheckedState w14:val="2610" w14:font="MS Gothic"/>
                </w14:checkbox>
              </w:sdtPr>
              <w:sdtContent>
                <w:r w:rsidRPr="0038126B">
                  <w:rPr>
                    <w:rFonts w:ascii="MS Gothic" w:eastAsia="MS Gothic" w:hAnsi="MS Gothic" w:hint="eastAsia"/>
                    <w:b/>
                  </w:rPr>
                  <w:t>☐</w:t>
                </w:r>
              </w:sdtContent>
            </w:sdt>
            <w:r w:rsidRPr="0038126B">
              <w:rPr>
                <w:b/>
              </w:rPr>
              <w:t xml:space="preserve"> No </w:t>
            </w:r>
            <w:sdt>
              <w:sdtPr>
                <w:rPr>
                  <w:b/>
                </w:rPr>
                <w:id w:val="-1638023046"/>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bl>
    <w:p w14:paraId="0F465D34" w14:textId="77777777" w:rsidR="005110F7" w:rsidRDefault="005110F7" w:rsidP="00141EC8">
      <w:pPr>
        <w:pStyle w:val="BodyText"/>
        <w:ind w:left="0"/>
      </w:pPr>
    </w:p>
    <w:p w14:paraId="19724199" w14:textId="77777777" w:rsidR="005110F7" w:rsidRDefault="005110F7" w:rsidP="005110F7">
      <w:pPr>
        <w:pStyle w:val="BodyText"/>
      </w:pPr>
    </w:p>
    <w:p w14:paraId="4F4B5CC7" w14:textId="77777777" w:rsidR="005110F7" w:rsidRDefault="005110F7" w:rsidP="005110F7">
      <w:pPr>
        <w:pStyle w:val="BodyText"/>
        <w:sectPr w:rsidR="005110F7" w:rsidSect="005110F7">
          <w:pgSz w:w="11907" w:h="16840" w:code="9"/>
          <w:pgMar w:top="1418" w:right="1134" w:bottom="1701" w:left="1701" w:header="567" w:footer="567" w:gutter="0"/>
          <w:cols w:space="708"/>
          <w:docGrid w:linePitch="360"/>
        </w:sectPr>
      </w:pPr>
    </w:p>
    <w:p w14:paraId="1933221A" w14:textId="53DB2B53" w:rsidR="00EF332C" w:rsidRDefault="00EF332C" w:rsidP="001C2DB1">
      <w:pPr>
        <w:pStyle w:val="SchTitleHeading"/>
        <w:numPr>
          <w:ilvl w:val="0"/>
          <w:numId w:val="28"/>
        </w:numPr>
      </w:pPr>
      <w:bookmarkStart w:id="217" w:name="_Toc15419288"/>
      <w:bookmarkStart w:id="218" w:name="_Ref19801082"/>
      <w:r>
        <w:lastRenderedPageBreak/>
        <w:t>Price List</w:t>
      </w:r>
      <w:bookmarkEnd w:id="217"/>
      <w:bookmarkEnd w:id="218"/>
    </w:p>
    <w:p w14:paraId="1A1A0132" w14:textId="51F9ACFF" w:rsidR="00C27818" w:rsidRPr="00C27818" w:rsidRDefault="00C27818" w:rsidP="00C27818">
      <w:pPr>
        <w:pStyle w:val="BodyText"/>
        <w:rPr>
          <w:b/>
          <w:i/>
        </w:rPr>
      </w:pPr>
      <w:r>
        <w:rPr>
          <w:b/>
          <w:i/>
        </w:rPr>
        <w:t>[To be inserted based on Price List submitted by the Supplier in response to the RFP or in an Application to be admitted to the Scheme</w:t>
      </w:r>
      <w:proofErr w:type="gramStart"/>
      <w:r>
        <w:rPr>
          <w:b/>
          <w:i/>
        </w:rPr>
        <w:t>. ]</w:t>
      </w:r>
      <w:proofErr w:type="gramEnd"/>
    </w:p>
    <w:p w14:paraId="5E5C7F8F" w14:textId="77777777" w:rsidR="00442A17" w:rsidRDefault="00442A17">
      <w:pPr>
        <w:spacing w:line="240" w:lineRule="auto"/>
        <w:rPr>
          <w:rFonts w:ascii="Arial Bold" w:hAnsi="Arial Bold"/>
          <w:b/>
          <w:color w:val="0047BB"/>
          <w:kern w:val="28"/>
          <w:sz w:val="28"/>
          <w:szCs w:val="28"/>
        </w:rPr>
      </w:pPr>
      <w:bookmarkStart w:id="219" w:name="_The_Unit_Rate"/>
      <w:bookmarkStart w:id="220" w:name="_Pass_Through_Charges"/>
      <w:bookmarkStart w:id="221" w:name="_Toc15419290"/>
      <w:bookmarkEnd w:id="219"/>
      <w:bookmarkEnd w:id="220"/>
      <w:r>
        <w:br w:type="page"/>
      </w:r>
    </w:p>
    <w:p w14:paraId="5D9F0709" w14:textId="14C7A039" w:rsidR="00207089" w:rsidRDefault="00EF332C" w:rsidP="00442A17">
      <w:pPr>
        <w:pStyle w:val="SchTitleHeading"/>
      </w:pPr>
      <w:r>
        <w:lastRenderedPageBreak/>
        <w:t xml:space="preserve">Schedule </w:t>
      </w:r>
      <w:r w:rsidR="00442A17">
        <w:t>4</w:t>
      </w:r>
      <w:r>
        <w:tab/>
        <w:t>Form of Customer Contract</w:t>
      </w:r>
      <w:bookmarkEnd w:id="221"/>
      <w:r>
        <w:t xml:space="preserve"> </w:t>
      </w:r>
    </w:p>
    <w:p w14:paraId="70CF232F" w14:textId="77777777" w:rsidR="00207089" w:rsidRDefault="00207089">
      <w:pPr>
        <w:spacing w:line="240" w:lineRule="auto"/>
        <w:rPr>
          <w:b/>
          <w:color w:val="0047BB"/>
          <w:kern w:val="28"/>
          <w:sz w:val="28"/>
          <w:szCs w:val="28"/>
        </w:rPr>
      </w:pPr>
      <w:r>
        <w:br w:type="page"/>
      </w:r>
    </w:p>
    <w:bookmarkEnd w:id="0"/>
    <w:p w14:paraId="78F80E84" w14:textId="77777777" w:rsidR="00442A17" w:rsidRDefault="00442A17" w:rsidP="00F91405">
      <w:pPr>
        <w:pStyle w:val="BodyText"/>
        <w:ind w:left="0"/>
      </w:pPr>
    </w:p>
    <w:p w14:paraId="13486D35" w14:textId="77777777" w:rsidR="00442A17" w:rsidRDefault="00442A17" w:rsidP="00442A17">
      <w:pPr>
        <w:pStyle w:val="Heading1Signing"/>
      </w:pPr>
      <w:bookmarkStart w:id="222" w:name="_Toc15419285"/>
      <w:r>
        <w:t>Execution page</w:t>
      </w:r>
      <w:bookmarkEnd w:id="222"/>
    </w:p>
    <w:p w14:paraId="5C923988" w14:textId="77777777" w:rsidR="00442A17" w:rsidRDefault="00442A17" w:rsidP="00442A17">
      <w:pPr>
        <w:rPr>
          <w:b/>
        </w:rPr>
      </w:pPr>
    </w:p>
    <w:p w14:paraId="70B607D8" w14:textId="73956EA7" w:rsidR="00442A17" w:rsidRPr="00113597" w:rsidRDefault="00442A17" w:rsidP="00442A17">
      <w:pPr>
        <w:rPr>
          <w:rFonts w:cs="Arial"/>
          <w:b/>
        </w:rPr>
      </w:pPr>
      <w:r>
        <w:rPr>
          <w:rFonts w:cs="Arial"/>
          <w:b/>
        </w:rPr>
        <w:t xml:space="preserve">Executed as </w:t>
      </w:r>
      <w:r w:rsidR="00830778">
        <w:rPr>
          <w:rFonts w:cs="Arial"/>
          <w:b/>
        </w:rPr>
        <w:t>an agreement</w:t>
      </w:r>
      <w:r>
        <w:rPr>
          <w:rFonts w:cs="Arial"/>
          <w:b/>
        </w:rPr>
        <w:t>:</w:t>
      </w:r>
    </w:p>
    <w:p w14:paraId="1257E9D3" w14:textId="77777777" w:rsidR="00442A17" w:rsidRPr="00113597" w:rsidRDefault="00442A17" w:rsidP="00442A17">
      <w:pPr>
        <w:rPr>
          <w:rFonts w:cs="Arial"/>
          <w:b/>
        </w:rPr>
      </w:pPr>
    </w:p>
    <w:tbl>
      <w:tblPr>
        <w:tblStyle w:val="TableGrid"/>
        <w:tblW w:w="9130" w:type="dxa"/>
        <w:tblLayout w:type="fixed"/>
        <w:tblCellMar>
          <w:left w:w="0" w:type="dxa"/>
          <w:right w:w="0" w:type="dxa"/>
        </w:tblCellMar>
        <w:tblLook w:val="01E0" w:firstRow="1" w:lastRow="1" w:firstColumn="1" w:lastColumn="1" w:noHBand="0" w:noVBand="0"/>
      </w:tblPr>
      <w:tblGrid>
        <w:gridCol w:w="4423"/>
        <w:gridCol w:w="284"/>
        <w:gridCol w:w="4423"/>
      </w:tblGrid>
      <w:tr w:rsidR="00442A17" w14:paraId="352C4710" w14:textId="77777777" w:rsidTr="00F066E5">
        <w:trPr>
          <w:cantSplit/>
        </w:trPr>
        <w:tc>
          <w:tcPr>
            <w:tcW w:w="4423" w:type="dxa"/>
            <w:tcBorders>
              <w:top w:val="single" w:sz="18" w:space="0" w:color="auto"/>
              <w:bottom w:val="single" w:sz="4" w:space="0" w:color="auto"/>
            </w:tcBorders>
          </w:tcPr>
          <w:p w14:paraId="51B1FCF9" w14:textId="46C2EBB6" w:rsidR="00442A17" w:rsidRPr="000C651D" w:rsidRDefault="00442A17" w:rsidP="00F066E5">
            <w:pPr>
              <w:keepNext/>
              <w:spacing w:after="600"/>
              <w:rPr>
                <w:b/>
              </w:rPr>
            </w:pPr>
            <w:r w:rsidRPr="00853C41">
              <w:rPr>
                <w:rFonts w:cs="Arial"/>
              </w:rPr>
              <w:t xml:space="preserve">Signed, </w:t>
            </w:r>
            <w:r w:rsidR="00830778">
              <w:rPr>
                <w:rFonts w:cs="Arial"/>
              </w:rPr>
              <w:t xml:space="preserve">for and on behalf of </w:t>
            </w:r>
            <w:r>
              <w:rPr>
                <w:rFonts w:cs="Arial"/>
                <w:b/>
              </w:rPr>
              <w:t>Transport for NSW</w:t>
            </w:r>
            <w:r w:rsidRPr="00853C41">
              <w:rPr>
                <w:rFonts w:cs="Arial"/>
              </w:rPr>
              <w:t xml:space="preserve"> </w:t>
            </w:r>
            <w:r>
              <w:rPr>
                <w:rFonts w:cs="Arial"/>
              </w:rPr>
              <w:t xml:space="preserve">by its </w:t>
            </w:r>
            <w:r w:rsidRPr="00853C41">
              <w:rPr>
                <w:rFonts w:cs="Arial"/>
              </w:rPr>
              <w:t>authorised signatory</w:t>
            </w:r>
            <w:r>
              <w:rPr>
                <w:rFonts w:cs="Arial"/>
              </w:rPr>
              <w:t xml:space="preserve">, but not so as to incur personal liability, </w:t>
            </w:r>
            <w:r w:rsidRPr="00853C41">
              <w:rPr>
                <w:rFonts w:cs="Arial"/>
              </w:rPr>
              <w:t>in the presence of</w:t>
            </w:r>
            <w:r w:rsidRPr="00BD0D82">
              <w:rPr>
                <w:rFonts w:cs="Arial"/>
              </w:rPr>
              <w:t>:</w:t>
            </w:r>
          </w:p>
        </w:tc>
        <w:tc>
          <w:tcPr>
            <w:tcW w:w="284" w:type="dxa"/>
            <w:tcBorders>
              <w:top w:val="single" w:sz="18" w:space="0" w:color="auto"/>
            </w:tcBorders>
          </w:tcPr>
          <w:p w14:paraId="3442B493" w14:textId="77777777" w:rsidR="00442A17" w:rsidRDefault="00442A17" w:rsidP="00F066E5">
            <w:pPr>
              <w:keepNext/>
              <w:spacing w:after="600"/>
            </w:pPr>
          </w:p>
        </w:tc>
        <w:tc>
          <w:tcPr>
            <w:tcW w:w="4423" w:type="dxa"/>
            <w:tcBorders>
              <w:top w:val="single" w:sz="18" w:space="0" w:color="auto"/>
              <w:bottom w:val="single" w:sz="4" w:space="0" w:color="auto"/>
            </w:tcBorders>
          </w:tcPr>
          <w:p w14:paraId="7E163641" w14:textId="77777777" w:rsidR="00442A17" w:rsidRDefault="00442A17" w:rsidP="00F066E5">
            <w:pPr>
              <w:keepNext/>
              <w:spacing w:after="600"/>
            </w:pPr>
          </w:p>
        </w:tc>
      </w:tr>
      <w:tr w:rsidR="00442A17" w14:paraId="37B1B243" w14:textId="77777777" w:rsidTr="00F066E5">
        <w:trPr>
          <w:cantSplit/>
        </w:trPr>
        <w:tc>
          <w:tcPr>
            <w:tcW w:w="4423" w:type="dxa"/>
            <w:tcBorders>
              <w:top w:val="single" w:sz="4" w:space="0" w:color="auto"/>
              <w:bottom w:val="single" w:sz="4" w:space="0" w:color="auto"/>
            </w:tcBorders>
          </w:tcPr>
          <w:p w14:paraId="7EAEF691" w14:textId="77777777" w:rsidR="00442A17" w:rsidRDefault="00442A17" w:rsidP="00F066E5">
            <w:pPr>
              <w:keepNext/>
              <w:spacing w:after="600"/>
            </w:pPr>
            <w:r>
              <w:t xml:space="preserve">Signature of witness </w:t>
            </w:r>
          </w:p>
        </w:tc>
        <w:tc>
          <w:tcPr>
            <w:tcW w:w="284" w:type="dxa"/>
          </w:tcPr>
          <w:p w14:paraId="19361D00" w14:textId="77777777" w:rsidR="00442A17" w:rsidRDefault="00442A17" w:rsidP="00F066E5">
            <w:pPr>
              <w:keepNext/>
              <w:spacing w:after="600"/>
            </w:pPr>
          </w:p>
        </w:tc>
        <w:tc>
          <w:tcPr>
            <w:tcW w:w="4423" w:type="dxa"/>
            <w:tcBorders>
              <w:top w:val="single" w:sz="4" w:space="0" w:color="auto"/>
              <w:bottom w:val="single" w:sz="4" w:space="0" w:color="auto"/>
            </w:tcBorders>
          </w:tcPr>
          <w:p w14:paraId="4C035A72" w14:textId="77777777" w:rsidR="00442A17" w:rsidRDefault="00442A17" w:rsidP="00F066E5">
            <w:pPr>
              <w:keepNext/>
              <w:spacing w:after="600"/>
            </w:pPr>
            <w:r>
              <w:t>Signature of authorised signatory</w:t>
            </w:r>
          </w:p>
        </w:tc>
      </w:tr>
      <w:tr w:rsidR="00442A17" w14:paraId="51791487" w14:textId="77777777" w:rsidTr="00F066E5">
        <w:trPr>
          <w:cantSplit/>
        </w:trPr>
        <w:tc>
          <w:tcPr>
            <w:tcW w:w="4423" w:type="dxa"/>
            <w:tcBorders>
              <w:top w:val="single" w:sz="4" w:space="0" w:color="auto"/>
            </w:tcBorders>
          </w:tcPr>
          <w:p w14:paraId="37108EEE" w14:textId="77777777" w:rsidR="00442A17" w:rsidRDefault="00442A17" w:rsidP="00F066E5">
            <w:pPr>
              <w:keepNext/>
            </w:pPr>
            <w:r>
              <w:t>Name of witness (print)</w:t>
            </w:r>
          </w:p>
        </w:tc>
        <w:tc>
          <w:tcPr>
            <w:tcW w:w="284" w:type="dxa"/>
          </w:tcPr>
          <w:p w14:paraId="11480B18" w14:textId="77777777" w:rsidR="00442A17" w:rsidRDefault="00442A17" w:rsidP="00F066E5">
            <w:pPr>
              <w:keepNext/>
            </w:pPr>
          </w:p>
        </w:tc>
        <w:tc>
          <w:tcPr>
            <w:tcW w:w="4423" w:type="dxa"/>
            <w:tcBorders>
              <w:top w:val="single" w:sz="4" w:space="0" w:color="auto"/>
            </w:tcBorders>
          </w:tcPr>
          <w:p w14:paraId="13DE47E7" w14:textId="77777777" w:rsidR="00442A17" w:rsidRDefault="00442A17" w:rsidP="00F066E5">
            <w:pPr>
              <w:keepNext/>
            </w:pPr>
            <w:r>
              <w:t>Name of authorised signatory (print)</w:t>
            </w:r>
          </w:p>
        </w:tc>
      </w:tr>
    </w:tbl>
    <w:p w14:paraId="2D154DF2" w14:textId="77777777" w:rsidR="00442A17" w:rsidRDefault="00442A17" w:rsidP="00442A17">
      <w:pPr>
        <w:spacing w:after="360"/>
        <w:rPr>
          <w:rFonts w:cs="Arial"/>
          <w:b/>
        </w:rPr>
      </w:pPr>
    </w:p>
    <w:tbl>
      <w:tblPr>
        <w:tblStyle w:val="TableGrid"/>
        <w:tblW w:w="9130" w:type="dxa"/>
        <w:tblLayout w:type="fixed"/>
        <w:tblCellMar>
          <w:left w:w="0" w:type="dxa"/>
          <w:right w:w="0" w:type="dxa"/>
        </w:tblCellMar>
        <w:tblLook w:val="01E0" w:firstRow="1" w:lastRow="1" w:firstColumn="1" w:lastColumn="1" w:noHBand="0" w:noVBand="0"/>
      </w:tblPr>
      <w:tblGrid>
        <w:gridCol w:w="4423"/>
        <w:gridCol w:w="284"/>
        <w:gridCol w:w="4423"/>
      </w:tblGrid>
      <w:tr w:rsidR="00442A17" w14:paraId="7B09F954" w14:textId="77777777" w:rsidTr="00F066E5">
        <w:trPr>
          <w:cantSplit/>
        </w:trPr>
        <w:tc>
          <w:tcPr>
            <w:tcW w:w="4423" w:type="dxa"/>
            <w:tcBorders>
              <w:top w:val="single" w:sz="4" w:space="0" w:color="auto"/>
            </w:tcBorders>
          </w:tcPr>
          <w:p w14:paraId="255BFAA8" w14:textId="77777777" w:rsidR="00442A17" w:rsidRDefault="00442A17" w:rsidP="00F066E5">
            <w:pPr>
              <w:keepNext/>
            </w:pPr>
            <w:r>
              <w:t>Date</w:t>
            </w:r>
          </w:p>
        </w:tc>
        <w:tc>
          <w:tcPr>
            <w:tcW w:w="284" w:type="dxa"/>
          </w:tcPr>
          <w:p w14:paraId="54ABCC48" w14:textId="77777777" w:rsidR="00442A17" w:rsidRDefault="00442A17" w:rsidP="00F066E5">
            <w:pPr>
              <w:keepNext/>
            </w:pPr>
          </w:p>
        </w:tc>
        <w:tc>
          <w:tcPr>
            <w:tcW w:w="4423" w:type="dxa"/>
            <w:tcBorders>
              <w:top w:val="single" w:sz="4" w:space="0" w:color="auto"/>
            </w:tcBorders>
          </w:tcPr>
          <w:p w14:paraId="5DC8CA69" w14:textId="77777777" w:rsidR="00442A17" w:rsidRDefault="00442A17" w:rsidP="00F066E5">
            <w:pPr>
              <w:keepNext/>
            </w:pPr>
            <w:r>
              <w:t>Date</w:t>
            </w:r>
          </w:p>
        </w:tc>
      </w:tr>
    </w:tbl>
    <w:p w14:paraId="48AF0DE4" w14:textId="77777777" w:rsidR="00442A17" w:rsidRDefault="00442A17" w:rsidP="00442A17">
      <w:pPr>
        <w:spacing w:after="360"/>
        <w:rPr>
          <w:rFonts w:cs="Arial"/>
          <w:b/>
        </w:rPr>
      </w:pPr>
    </w:p>
    <w:p w14:paraId="7EB4BFC3" w14:textId="77777777" w:rsidR="00442A17" w:rsidRDefault="00442A17" w:rsidP="00442A17">
      <w:pPr>
        <w:spacing w:after="360"/>
        <w:rPr>
          <w:rFonts w:cs="Arial"/>
          <w:b/>
        </w:rPr>
      </w:pPr>
    </w:p>
    <w:tbl>
      <w:tblPr>
        <w:tblStyle w:val="TableGrid"/>
        <w:tblW w:w="9130" w:type="dxa"/>
        <w:tblLayout w:type="fixed"/>
        <w:tblCellMar>
          <w:left w:w="0" w:type="dxa"/>
          <w:right w:w="0" w:type="dxa"/>
        </w:tblCellMar>
        <w:tblLook w:val="01E0" w:firstRow="1" w:lastRow="1" w:firstColumn="1" w:lastColumn="1" w:noHBand="0" w:noVBand="0"/>
      </w:tblPr>
      <w:tblGrid>
        <w:gridCol w:w="4423"/>
        <w:gridCol w:w="284"/>
        <w:gridCol w:w="4423"/>
      </w:tblGrid>
      <w:tr w:rsidR="00442A17" w14:paraId="733A3649" w14:textId="77777777" w:rsidTr="00F066E5">
        <w:trPr>
          <w:cantSplit/>
        </w:trPr>
        <w:tc>
          <w:tcPr>
            <w:tcW w:w="4423" w:type="dxa"/>
            <w:tcBorders>
              <w:top w:val="single" w:sz="18" w:space="0" w:color="auto"/>
              <w:bottom w:val="single" w:sz="4" w:space="0" w:color="auto"/>
            </w:tcBorders>
          </w:tcPr>
          <w:p w14:paraId="772D972B" w14:textId="04A18035" w:rsidR="00442A17" w:rsidRPr="000C651D" w:rsidRDefault="00442A17" w:rsidP="00F066E5">
            <w:pPr>
              <w:keepNext/>
              <w:spacing w:after="600"/>
              <w:rPr>
                <w:b/>
              </w:rPr>
            </w:pPr>
            <w:r w:rsidRPr="00853C41">
              <w:rPr>
                <w:rFonts w:cs="Arial"/>
              </w:rPr>
              <w:t>Signed</w:t>
            </w:r>
            <w:r w:rsidR="00830778">
              <w:rPr>
                <w:rFonts w:cs="Arial"/>
              </w:rPr>
              <w:t xml:space="preserve"> for and on behalf of </w:t>
            </w:r>
            <w:r>
              <w:rPr>
                <w:rFonts w:cs="Arial"/>
                <w:b/>
              </w:rPr>
              <w:t xml:space="preserve">[insert </w:t>
            </w:r>
            <w:r w:rsidR="00D82BC0">
              <w:rPr>
                <w:rFonts w:cs="Arial"/>
                <w:b/>
              </w:rPr>
              <w:t>Supplier</w:t>
            </w:r>
            <w:r>
              <w:rPr>
                <w:rFonts w:cs="Arial"/>
                <w:b/>
              </w:rPr>
              <w:t xml:space="preserve">’s name and ABN] </w:t>
            </w:r>
            <w:r w:rsidRPr="009D4CB3">
              <w:rPr>
                <w:rFonts w:cs="Arial"/>
              </w:rPr>
              <w:t>in accordance with section 127 of the Corporations Act by:</w:t>
            </w:r>
          </w:p>
        </w:tc>
        <w:tc>
          <w:tcPr>
            <w:tcW w:w="284" w:type="dxa"/>
            <w:tcBorders>
              <w:top w:val="single" w:sz="18" w:space="0" w:color="auto"/>
            </w:tcBorders>
          </w:tcPr>
          <w:p w14:paraId="2B0D4C3A" w14:textId="77777777" w:rsidR="00442A17" w:rsidRDefault="00442A17" w:rsidP="00F066E5">
            <w:pPr>
              <w:keepNext/>
              <w:spacing w:after="600"/>
            </w:pPr>
          </w:p>
        </w:tc>
        <w:tc>
          <w:tcPr>
            <w:tcW w:w="4423" w:type="dxa"/>
            <w:tcBorders>
              <w:top w:val="single" w:sz="18" w:space="0" w:color="auto"/>
              <w:bottom w:val="single" w:sz="4" w:space="0" w:color="auto"/>
            </w:tcBorders>
          </w:tcPr>
          <w:p w14:paraId="38320D6F" w14:textId="77777777" w:rsidR="00442A17" w:rsidRDefault="00442A17" w:rsidP="00F066E5">
            <w:pPr>
              <w:keepNext/>
              <w:spacing w:after="600"/>
            </w:pPr>
          </w:p>
        </w:tc>
      </w:tr>
      <w:tr w:rsidR="00442A17" w14:paraId="1A30A46A" w14:textId="77777777" w:rsidTr="00F066E5">
        <w:trPr>
          <w:cantSplit/>
        </w:trPr>
        <w:tc>
          <w:tcPr>
            <w:tcW w:w="4423" w:type="dxa"/>
            <w:tcBorders>
              <w:top w:val="single" w:sz="4" w:space="0" w:color="auto"/>
              <w:bottom w:val="single" w:sz="4" w:space="0" w:color="auto"/>
            </w:tcBorders>
          </w:tcPr>
          <w:p w14:paraId="1B417BFE" w14:textId="3A07C1BE" w:rsidR="00442A17" w:rsidRDefault="00442A17" w:rsidP="00F066E5">
            <w:pPr>
              <w:keepNext/>
              <w:spacing w:after="600"/>
            </w:pPr>
            <w:r>
              <w:t xml:space="preserve">Signature of </w:t>
            </w:r>
            <w:r w:rsidR="00830778">
              <w:t>director</w:t>
            </w:r>
          </w:p>
        </w:tc>
        <w:tc>
          <w:tcPr>
            <w:tcW w:w="284" w:type="dxa"/>
          </w:tcPr>
          <w:p w14:paraId="3A3E8149" w14:textId="77777777" w:rsidR="00442A17" w:rsidRDefault="00442A17" w:rsidP="00F066E5">
            <w:pPr>
              <w:keepNext/>
              <w:spacing w:after="600"/>
            </w:pPr>
          </w:p>
        </w:tc>
        <w:tc>
          <w:tcPr>
            <w:tcW w:w="4423" w:type="dxa"/>
            <w:tcBorders>
              <w:top w:val="single" w:sz="4" w:space="0" w:color="auto"/>
              <w:bottom w:val="single" w:sz="4" w:space="0" w:color="auto"/>
            </w:tcBorders>
          </w:tcPr>
          <w:p w14:paraId="0AF2A856" w14:textId="56A0794D" w:rsidR="00442A17" w:rsidRDefault="00442A17" w:rsidP="00F066E5">
            <w:pPr>
              <w:keepNext/>
              <w:spacing w:after="600"/>
            </w:pPr>
            <w:r>
              <w:t xml:space="preserve">Signature of </w:t>
            </w:r>
            <w:r w:rsidR="00830778">
              <w:t>director/secretary</w:t>
            </w:r>
          </w:p>
        </w:tc>
      </w:tr>
      <w:tr w:rsidR="00442A17" w14:paraId="7CA1DAF5" w14:textId="77777777" w:rsidTr="00F066E5">
        <w:trPr>
          <w:cantSplit/>
        </w:trPr>
        <w:tc>
          <w:tcPr>
            <w:tcW w:w="4423" w:type="dxa"/>
            <w:tcBorders>
              <w:top w:val="single" w:sz="4" w:space="0" w:color="auto"/>
            </w:tcBorders>
          </w:tcPr>
          <w:p w14:paraId="572040B0" w14:textId="655A72A9" w:rsidR="00442A17" w:rsidRDefault="00442A17" w:rsidP="00F066E5">
            <w:pPr>
              <w:keepNext/>
            </w:pPr>
            <w:r>
              <w:t xml:space="preserve">Name of </w:t>
            </w:r>
            <w:r w:rsidR="00830778">
              <w:t xml:space="preserve">director </w:t>
            </w:r>
            <w:r>
              <w:t>(print)</w:t>
            </w:r>
          </w:p>
        </w:tc>
        <w:tc>
          <w:tcPr>
            <w:tcW w:w="284" w:type="dxa"/>
          </w:tcPr>
          <w:p w14:paraId="0B5E7309" w14:textId="77777777" w:rsidR="00442A17" w:rsidRDefault="00442A17" w:rsidP="00F066E5">
            <w:pPr>
              <w:keepNext/>
            </w:pPr>
          </w:p>
        </w:tc>
        <w:tc>
          <w:tcPr>
            <w:tcW w:w="4423" w:type="dxa"/>
            <w:tcBorders>
              <w:top w:val="single" w:sz="4" w:space="0" w:color="auto"/>
            </w:tcBorders>
          </w:tcPr>
          <w:p w14:paraId="416FE49B" w14:textId="59EDA89E" w:rsidR="00442A17" w:rsidRDefault="00442A17" w:rsidP="00F066E5">
            <w:pPr>
              <w:keepNext/>
            </w:pPr>
            <w:r>
              <w:t xml:space="preserve">Name of </w:t>
            </w:r>
            <w:r w:rsidR="00830778">
              <w:t>director/secretary</w:t>
            </w:r>
          </w:p>
        </w:tc>
      </w:tr>
      <w:tr w:rsidR="00442A17" w14:paraId="7AA2E28E" w14:textId="77777777" w:rsidTr="00F066E5">
        <w:trPr>
          <w:cantSplit/>
        </w:trPr>
        <w:tc>
          <w:tcPr>
            <w:tcW w:w="4423" w:type="dxa"/>
          </w:tcPr>
          <w:p w14:paraId="6859E23C" w14:textId="77777777" w:rsidR="00442A17" w:rsidRDefault="00442A17" w:rsidP="00F066E5">
            <w:pPr>
              <w:keepNext/>
            </w:pPr>
          </w:p>
        </w:tc>
        <w:tc>
          <w:tcPr>
            <w:tcW w:w="284" w:type="dxa"/>
          </w:tcPr>
          <w:p w14:paraId="5B49141A" w14:textId="77777777" w:rsidR="00442A17" w:rsidRDefault="00442A17" w:rsidP="00F066E5">
            <w:pPr>
              <w:keepNext/>
            </w:pPr>
          </w:p>
        </w:tc>
        <w:tc>
          <w:tcPr>
            <w:tcW w:w="4423" w:type="dxa"/>
          </w:tcPr>
          <w:p w14:paraId="1D951066" w14:textId="77777777" w:rsidR="00442A17" w:rsidRDefault="00442A17" w:rsidP="00F066E5">
            <w:pPr>
              <w:keepNext/>
            </w:pPr>
          </w:p>
        </w:tc>
      </w:tr>
      <w:tr w:rsidR="00442A17" w14:paraId="713F5836" w14:textId="77777777" w:rsidTr="00F066E5">
        <w:trPr>
          <w:cantSplit/>
        </w:trPr>
        <w:tc>
          <w:tcPr>
            <w:tcW w:w="4423" w:type="dxa"/>
            <w:tcBorders>
              <w:top w:val="single" w:sz="4" w:space="0" w:color="auto"/>
            </w:tcBorders>
          </w:tcPr>
          <w:p w14:paraId="55DA690E" w14:textId="77777777" w:rsidR="00442A17" w:rsidRDefault="00442A17" w:rsidP="00F066E5">
            <w:pPr>
              <w:keepNext/>
            </w:pPr>
            <w:r>
              <w:t>Date</w:t>
            </w:r>
          </w:p>
        </w:tc>
        <w:tc>
          <w:tcPr>
            <w:tcW w:w="284" w:type="dxa"/>
          </w:tcPr>
          <w:p w14:paraId="36FD2783" w14:textId="77777777" w:rsidR="00442A17" w:rsidRDefault="00442A17" w:rsidP="00F066E5">
            <w:pPr>
              <w:keepNext/>
            </w:pPr>
          </w:p>
        </w:tc>
        <w:tc>
          <w:tcPr>
            <w:tcW w:w="4423" w:type="dxa"/>
            <w:tcBorders>
              <w:top w:val="single" w:sz="4" w:space="0" w:color="auto"/>
            </w:tcBorders>
          </w:tcPr>
          <w:p w14:paraId="28E195DF" w14:textId="77777777" w:rsidR="00442A17" w:rsidRDefault="00442A17" w:rsidP="00F066E5">
            <w:pPr>
              <w:keepNext/>
            </w:pPr>
            <w:r>
              <w:t>Date</w:t>
            </w:r>
          </w:p>
        </w:tc>
      </w:tr>
    </w:tbl>
    <w:p w14:paraId="26280568" w14:textId="77777777" w:rsidR="00442A17" w:rsidRDefault="00442A17" w:rsidP="00442A17">
      <w:pPr>
        <w:spacing w:after="360"/>
        <w:rPr>
          <w:rFonts w:cs="Arial"/>
          <w:b/>
        </w:rPr>
      </w:pPr>
    </w:p>
    <w:p w14:paraId="68642EEF" w14:textId="77777777" w:rsidR="00442A17" w:rsidRDefault="00442A17" w:rsidP="00442A17">
      <w:pPr>
        <w:spacing w:after="360"/>
        <w:rPr>
          <w:rFonts w:cs="Arial"/>
          <w:b/>
        </w:rPr>
      </w:pPr>
    </w:p>
    <w:p w14:paraId="72A7327A" w14:textId="77777777" w:rsidR="00442A17" w:rsidRPr="00F91405" w:rsidRDefault="00442A17" w:rsidP="00F91405">
      <w:pPr>
        <w:pStyle w:val="BodyText"/>
        <w:ind w:left="0"/>
      </w:pPr>
    </w:p>
    <w:sectPr w:rsidR="00442A17" w:rsidRPr="00F91405" w:rsidSect="005110F7">
      <w:pgSz w:w="11907" w:h="16840" w:code="9"/>
      <w:pgMar w:top="1418" w:right="1134" w:bottom="1701" w:left="1701"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8B973" w16cid:durableId="21863E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F4E8A" w14:textId="77777777" w:rsidR="00124CBF" w:rsidRDefault="00124CBF">
      <w:r>
        <w:separator/>
      </w:r>
    </w:p>
  </w:endnote>
  <w:endnote w:type="continuationSeparator" w:id="0">
    <w:p w14:paraId="1C0F0890" w14:textId="77777777" w:rsidR="00124CBF" w:rsidRDefault="00124CBF">
      <w:r>
        <w:continuationSeparator/>
      </w:r>
    </w:p>
  </w:endnote>
  <w:endnote w:type="continuationNotice" w:id="1">
    <w:p w14:paraId="25F2578A" w14:textId="77777777" w:rsidR="00124CBF" w:rsidRDefault="00124C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GillSans">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CEEBF" w14:textId="77777777" w:rsidR="00124CBF" w:rsidRDefault="00124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7" w:type="dxa"/>
      <w:tblInd w:w="-743" w:type="dxa"/>
      <w:tblBorders>
        <w:top w:val="dotted" w:sz="8" w:space="0" w:color="auto"/>
      </w:tblBorders>
      <w:tblLook w:val="01E0" w:firstRow="1" w:lastRow="1" w:firstColumn="1" w:lastColumn="1" w:noHBand="0" w:noVBand="0"/>
    </w:tblPr>
    <w:tblGrid>
      <w:gridCol w:w="351"/>
      <w:gridCol w:w="9606"/>
    </w:tblGrid>
    <w:tr w:rsidR="00124CBF" w:rsidRPr="00876556" w14:paraId="5D95F99D" w14:textId="77777777" w:rsidTr="00042599">
      <w:trPr>
        <w:cantSplit/>
        <w:trHeight w:val="284"/>
      </w:trPr>
      <w:tc>
        <w:tcPr>
          <w:tcW w:w="335" w:type="dxa"/>
          <w:tcBorders>
            <w:top w:val="nil"/>
          </w:tcBorders>
          <w:noWrap/>
          <w:tcMar>
            <w:left w:w="0" w:type="dxa"/>
            <w:right w:w="0" w:type="dxa"/>
          </w:tcMar>
          <w:vAlign w:val="bottom"/>
        </w:tcPr>
        <w:p w14:paraId="70CD661F" w14:textId="77777777" w:rsidR="00124CBF" w:rsidRPr="00876556" w:rsidRDefault="00124CBF" w:rsidP="00442130">
          <w:pPr>
            <w:spacing w:before="120" w:after="120"/>
            <w:rPr>
              <w:rFonts w:cs="Arial"/>
              <w:sz w:val="12"/>
              <w:szCs w:val="12"/>
            </w:rPr>
          </w:pPr>
        </w:p>
      </w:tc>
      <w:tc>
        <w:tcPr>
          <w:tcW w:w="9622" w:type="dxa"/>
          <w:tcBorders>
            <w:top w:val="single" w:sz="4" w:space="0" w:color="auto"/>
          </w:tcBorders>
          <w:vAlign w:val="bottom"/>
        </w:tcPr>
        <w:p w14:paraId="12D3ACB9" w14:textId="287E58D9" w:rsidR="00124CBF" w:rsidRPr="00FC4C71" w:rsidRDefault="00124CBF" w:rsidP="008F08B5">
          <w:pPr>
            <w:pStyle w:val="xFooter"/>
            <w:tabs>
              <w:tab w:val="right" w:pos="9393"/>
            </w:tabs>
          </w:pPr>
          <w:r>
            <w:rPr>
              <w:noProof/>
            </w:rPr>
            <w:fldChar w:fldCharType="begin"/>
          </w:r>
          <w:r>
            <w:rPr>
              <w:noProof/>
            </w:rPr>
            <w:instrText xml:space="preserve"> FILENAME   \* MERGEFORMAT </w:instrText>
          </w:r>
          <w:r>
            <w:rPr>
              <w:noProof/>
            </w:rPr>
            <w:fldChar w:fldCharType="separate"/>
          </w:r>
          <w:r>
            <w:rPr>
              <w:noProof/>
            </w:rPr>
            <w:t>SCM7971 Digital Engineering Services - Head Agreement</w:t>
          </w:r>
          <w:r>
            <w:rPr>
              <w:noProof/>
            </w:rPr>
            <w:fldChar w:fldCharType="end"/>
          </w:r>
          <w:r w:rsidRPr="00FC4C71">
            <w:tab/>
            <w:t>page | </w:t>
          </w:r>
          <w:r w:rsidRPr="00FC4C71">
            <w:rPr>
              <w:rStyle w:val="PageNumber"/>
              <w:szCs w:val="20"/>
            </w:rPr>
            <w:fldChar w:fldCharType="begin"/>
          </w:r>
          <w:r w:rsidRPr="00FC4C71">
            <w:rPr>
              <w:rStyle w:val="PageNumber"/>
              <w:szCs w:val="20"/>
            </w:rPr>
            <w:instrText xml:space="preserve"> PAGE </w:instrText>
          </w:r>
          <w:r w:rsidRPr="00FC4C71">
            <w:rPr>
              <w:rStyle w:val="PageNumber"/>
              <w:szCs w:val="20"/>
            </w:rPr>
            <w:fldChar w:fldCharType="separate"/>
          </w:r>
          <w:r w:rsidR="00B2249D">
            <w:rPr>
              <w:rStyle w:val="PageNumber"/>
              <w:noProof/>
              <w:szCs w:val="20"/>
            </w:rPr>
            <w:t>20</w:t>
          </w:r>
          <w:r w:rsidRPr="00FC4C71">
            <w:rPr>
              <w:rStyle w:val="PageNumber"/>
              <w:szCs w:val="20"/>
            </w:rPr>
            <w:fldChar w:fldCharType="end"/>
          </w:r>
          <w:r w:rsidRPr="00FC4C71">
            <w:t xml:space="preserve"> </w:t>
          </w:r>
        </w:p>
      </w:tc>
    </w:tr>
  </w:tbl>
  <w:p w14:paraId="5D95F604" w14:textId="77777777" w:rsidR="00124CBF" w:rsidRDefault="00124C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A14F3" w14:textId="77777777" w:rsidR="00124CBF" w:rsidRDefault="00124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EEF6B" w14:textId="77777777" w:rsidR="00124CBF" w:rsidRDefault="00124CBF">
      <w:r>
        <w:separator/>
      </w:r>
    </w:p>
  </w:footnote>
  <w:footnote w:type="continuationSeparator" w:id="0">
    <w:p w14:paraId="10101E2B" w14:textId="77777777" w:rsidR="00124CBF" w:rsidRDefault="00124CBF">
      <w:r>
        <w:continuationSeparator/>
      </w:r>
    </w:p>
  </w:footnote>
  <w:footnote w:type="continuationNotice" w:id="1">
    <w:p w14:paraId="2D816D8F" w14:textId="77777777" w:rsidR="00124CBF" w:rsidRDefault="00124C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EF21C" w14:textId="77777777" w:rsidR="00124CBF" w:rsidRDefault="00124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AC60C" w14:textId="77777777" w:rsidR="00124CBF" w:rsidRDefault="00124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A58E7" w14:textId="77777777" w:rsidR="00124CBF" w:rsidRDefault="00124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E370D03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394DB6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7C8C9B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D82B5E0"/>
    <w:lvl w:ilvl="0">
      <w:start w:val="1"/>
      <w:numFmt w:val="bullet"/>
      <w:lvlText w:val=""/>
      <w:lvlJc w:val="left"/>
      <w:pPr>
        <w:tabs>
          <w:tab w:val="num" w:pos="567"/>
        </w:tabs>
        <w:ind w:left="851" w:hanging="284"/>
      </w:pPr>
      <w:rPr>
        <w:rFonts w:ascii="Symbol" w:hAnsi="Symbol" w:hint="default"/>
      </w:rPr>
    </w:lvl>
  </w:abstractNum>
  <w:abstractNum w:abstractNumId="7" w15:restartNumberingAfterBreak="0">
    <w:nsid w:val="003C1B8D"/>
    <w:multiLevelType w:val="hybridMultilevel"/>
    <w:tmpl w:val="65642C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31C07AE"/>
    <w:multiLevelType w:val="hybridMultilevel"/>
    <w:tmpl w:val="7F682CD4"/>
    <w:lvl w:ilvl="0" w:tplc="31501440">
      <w:start w:val="1"/>
      <w:numFmt w:val="bullet"/>
      <w:pStyle w:val="Section2Bullet1"/>
      <w:lvlText w:val=""/>
      <w:lvlJc w:val="left"/>
      <w:pPr>
        <w:tabs>
          <w:tab w:val="num" w:pos="1514"/>
        </w:tabs>
        <w:ind w:left="1514" w:hanging="360"/>
      </w:pPr>
      <w:rPr>
        <w:rFonts w:ascii="Symbol" w:hAnsi="Symbol" w:hint="default"/>
      </w:rPr>
    </w:lvl>
    <w:lvl w:ilvl="1" w:tplc="0C090003" w:tentative="1">
      <w:start w:val="1"/>
      <w:numFmt w:val="bullet"/>
      <w:lvlText w:val="o"/>
      <w:lvlJc w:val="left"/>
      <w:pPr>
        <w:tabs>
          <w:tab w:val="num" w:pos="2234"/>
        </w:tabs>
        <w:ind w:left="2234" w:hanging="360"/>
      </w:pPr>
      <w:rPr>
        <w:rFonts w:ascii="Courier New" w:hAnsi="Courier New" w:cs="Courier New" w:hint="default"/>
      </w:rPr>
    </w:lvl>
    <w:lvl w:ilvl="2" w:tplc="0C090005" w:tentative="1">
      <w:start w:val="1"/>
      <w:numFmt w:val="bullet"/>
      <w:lvlText w:val=""/>
      <w:lvlJc w:val="left"/>
      <w:pPr>
        <w:tabs>
          <w:tab w:val="num" w:pos="2954"/>
        </w:tabs>
        <w:ind w:left="2954" w:hanging="360"/>
      </w:pPr>
      <w:rPr>
        <w:rFonts w:ascii="Wingdings" w:hAnsi="Wingdings" w:hint="default"/>
      </w:rPr>
    </w:lvl>
    <w:lvl w:ilvl="3" w:tplc="0C090001" w:tentative="1">
      <w:start w:val="1"/>
      <w:numFmt w:val="bullet"/>
      <w:lvlText w:val=""/>
      <w:lvlJc w:val="left"/>
      <w:pPr>
        <w:tabs>
          <w:tab w:val="num" w:pos="3674"/>
        </w:tabs>
        <w:ind w:left="3674" w:hanging="360"/>
      </w:pPr>
      <w:rPr>
        <w:rFonts w:ascii="Symbol" w:hAnsi="Symbol" w:hint="default"/>
      </w:rPr>
    </w:lvl>
    <w:lvl w:ilvl="4" w:tplc="0C090003" w:tentative="1">
      <w:start w:val="1"/>
      <w:numFmt w:val="bullet"/>
      <w:lvlText w:val="o"/>
      <w:lvlJc w:val="left"/>
      <w:pPr>
        <w:tabs>
          <w:tab w:val="num" w:pos="4394"/>
        </w:tabs>
        <w:ind w:left="4394" w:hanging="360"/>
      </w:pPr>
      <w:rPr>
        <w:rFonts w:ascii="Courier New" w:hAnsi="Courier New" w:cs="Courier New" w:hint="default"/>
      </w:rPr>
    </w:lvl>
    <w:lvl w:ilvl="5" w:tplc="0C090005" w:tentative="1">
      <w:start w:val="1"/>
      <w:numFmt w:val="bullet"/>
      <w:lvlText w:val=""/>
      <w:lvlJc w:val="left"/>
      <w:pPr>
        <w:tabs>
          <w:tab w:val="num" w:pos="5114"/>
        </w:tabs>
        <w:ind w:left="5114" w:hanging="360"/>
      </w:pPr>
      <w:rPr>
        <w:rFonts w:ascii="Wingdings" w:hAnsi="Wingdings" w:hint="default"/>
      </w:rPr>
    </w:lvl>
    <w:lvl w:ilvl="6" w:tplc="0C090001" w:tentative="1">
      <w:start w:val="1"/>
      <w:numFmt w:val="bullet"/>
      <w:lvlText w:val=""/>
      <w:lvlJc w:val="left"/>
      <w:pPr>
        <w:tabs>
          <w:tab w:val="num" w:pos="5834"/>
        </w:tabs>
        <w:ind w:left="5834" w:hanging="360"/>
      </w:pPr>
      <w:rPr>
        <w:rFonts w:ascii="Symbol" w:hAnsi="Symbol" w:hint="default"/>
      </w:rPr>
    </w:lvl>
    <w:lvl w:ilvl="7" w:tplc="0C090003" w:tentative="1">
      <w:start w:val="1"/>
      <w:numFmt w:val="bullet"/>
      <w:lvlText w:val="o"/>
      <w:lvlJc w:val="left"/>
      <w:pPr>
        <w:tabs>
          <w:tab w:val="num" w:pos="6554"/>
        </w:tabs>
        <w:ind w:left="6554" w:hanging="360"/>
      </w:pPr>
      <w:rPr>
        <w:rFonts w:ascii="Courier New" w:hAnsi="Courier New" w:cs="Courier New" w:hint="default"/>
      </w:rPr>
    </w:lvl>
    <w:lvl w:ilvl="8" w:tplc="0C090005" w:tentative="1">
      <w:start w:val="1"/>
      <w:numFmt w:val="bullet"/>
      <w:lvlText w:val=""/>
      <w:lvlJc w:val="left"/>
      <w:pPr>
        <w:tabs>
          <w:tab w:val="num" w:pos="7274"/>
        </w:tabs>
        <w:ind w:left="7274" w:hanging="360"/>
      </w:pPr>
      <w:rPr>
        <w:rFonts w:ascii="Wingdings" w:hAnsi="Wingdings" w:hint="default"/>
      </w:rPr>
    </w:lvl>
  </w:abstractNum>
  <w:abstractNum w:abstractNumId="9" w15:restartNumberingAfterBreak="0">
    <w:nsid w:val="09791D21"/>
    <w:multiLevelType w:val="multilevel"/>
    <w:tmpl w:val="072093EA"/>
    <w:lvl w:ilvl="0">
      <w:start w:val="1"/>
      <w:numFmt w:val="bullet"/>
      <w:pStyle w:val="TableBullet"/>
      <w:lvlText w:val=""/>
      <w:lvlJc w:val="left"/>
      <w:pPr>
        <w:tabs>
          <w:tab w:val="num" w:pos="454"/>
        </w:tabs>
        <w:ind w:left="454" w:hanging="454"/>
      </w:pPr>
      <w:rPr>
        <w:rFonts w:ascii="Wingdings" w:hAnsi="Wingdings" w:hint="default"/>
        <w:color w:val="1F497D" w:themeColor="text2"/>
      </w:rPr>
    </w:lvl>
    <w:lvl w:ilvl="1">
      <w:start w:val="1"/>
      <w:numFmt w:val="bullet"/>
      <w:pStyle w:val="TableBullet2"/>
      <w:lvlText w:val="−"/>
      <w:lvlJc w:val="left"/>
      <w:pPr>
        <w:ind w:left="737" w:hanging="283"/>
      </w:pPr>
      <w:rPr>
        <w:rFonts w:ascii="Arial" w:hAnsi="Arial" w:hint="default"/>
        <w:color w:val="auto"/>
      </w:rPr>
    </w:lvl>
    <w:lvl w:ilvl="2">
      <w:start w:val="1"/>
      <w:numFmt w:val="bullet"/>
      <w:lvlText w:val=""/>
      <w:lvlJc w:val="left"/>
      <w:pPr>
        <w:ind w:left="1021"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114237"/>
    <w:multiLevelType w:val="hybridMultilevel"/>
    <w:tmpl w:val="253847CC"/>
    <w:lvl w:ilvl="0" w:tplc="8070B506">
      <w:start w:val="1"/>
      <w:numFmt w:val="upperLetter"/>
      <w:pStyle w:val="DeedAttachment"/>
      <w:lvlText w:val="Attachment %1 "/>
      <w:lvlJc w:val="left"/>
      <w:pPr>
        <w:tabs>
          <w:tab w:val="num" w:pos="284"/>
        </w:tabs>
        <w:ind w:left="2268" w:hanging="1908"/>
      </w:pPr>
      <w:rPr>
        <w:rFonts w:hint="default"/>
      </w:rPr>
    </w:lvl>
    <w:lvl w:ilvl="1" w:tplc="346EE610" w:tentative="1">
      <w:start w:val="1"/>
      <w:numFmt w:val="lowerLetter"/>
      <w:lvlText w:val="%2."/>
      <w:lvlJc w:val="left"/>
      <w:pPr>
        <w:tabs>
          <w:tab w:val="num" w:pos="1440"/>
        </w:tabs>
        <w:ind w:left="1440" w:hanging="360"/>
      </w:pPr>
    </w:lvl>
    <w:lvl w:ilvl="2" w:tplc="86C4A97C" w:tentative="1">
      <w:start w:val="1"/>
      <w:numFmt w:val="lowerRoman"/>
      <w:lvlText w:val="%3."/>
      <w:lvlJc w:val="right"/>
      <w:pPr>
        <w:tabs>
          <w:tab w:val="num" w:pos="2160"/>
        </w:tabs>
        <w:ind w:left="2160" w:hanging="180"/>
      </w:pPr>
    </w:lvl>
    <w:lvl w:ilvl="3" w:tplc="A21A55F2" w:tentative="1">
      <w:start w:val="1"/>
      <w:numFmt w:val="decimal"/>
      <w:lvlText w:val="%4."/>
      <w:lvlJc w:val="left"/>
      <w:pPr>
        <w:tabs>
          <w:tab w:val="num" w:pos="2880"/>
        </w:tabs>
        <w:ind w:left="2880" w:hanging="360"/>
      </w:pPr>
    </w:lvl>
    <w:lvl w:ilvl="4" w:tplc="B732677E" w:tentative="1">
      <w:start w:val="1"/>
      <w:numFmt w:val="lowerLetter"/>
      <w:lvlText w:val="%5."/>
      <w:lvlJc w:val="left"/>
      <w:pPr>
        <w:tabs>
          <w:tab w:val="num" w:pos="3600"/>
        </w:tabs>
        <w:ind w:left="3600" w:hanging="360"/>
      </w:pPr>
    </w:lvl>
    <w:lvl w:ilvl="5" w:tplc="DF4046FE" w:tentative="1">
      <w:start w:val="1"/>
      <w:numFmt w:val="lowerRoman"/>
      <w:lvlText w:val="%6."/>
      <w:lvlJc w:val="right"/>
      <w:pPr>
        <w:tabs>
          <w:tab w:val="num" w:pos="4320"/>
        </w:tabs>
        <w:ind w:left="4320" w:hanging="180"/>
      </w:pPr>
    </w:lvl>
    <w:lvl w:ilvl="6" w:tplc="D3145F5C" w:tentative="1">
      <w:start w:val="1"/>
      <w:numFmt w:val="decimal"/>
      <w:lvlText w:val="%7."/>
      <w:lvlJc w:val="left"/>
      <w:pPr>
        <w:tabs>
          <w:tab w:val="num" w:pos="5040"/>
        </w:tabs>
        <w:ind w:left="5040" w:hanging="360"/>
      </w:pPr>
    </w:lvl>
    <w:lvl w:ilvl="7" w:tplc="BC663846" w:tentative="1">
      <w:start w:val="1"/>
      <w:numFmt w:val="lowerLetter"/>
      <w:lvlText w:val="%8."/>
      <w:lvlJc w:val="left"/>
      <w:pPr>
        <w:tabs>
          <w:tab w:val="num" w:pos="5760"/>
        </w:tabs>
        <w:ind w:left="5760" w:hanging="360"/>
      </w:pPr>
    </w:lvl>
    <w:lvl w:ilvl="8" w:tplc="5716482E" w:tentative="1">
      <w:start w:val="1"/>
      <w:numFmt w:val="lowerRoman"/>
      <w:lvlText w:val="%9."/>
      <w:lvlJc w:val="right"/>
      <w:pPr>
        <w:tabs>
          <w:tab w:val="num" w:pos="6480"/>
        </w:tabs>
        <w:ind w:left="6480" w:hanging="180"/>
      </w:pPr>
    </w:lvl>
  </w:abstractNum>
  <w:abstractNum w:abstractNumId="11"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12" w15:restartNumberingAfterBreak="0">
    <w:nsid w:val="14802739"/>
    <w:multiLevelType w:val="multilevel"/>
    <w:tmpl w:val="43AA5D5C"/>
    <w:lvl w:ilvl="0">
      <w:start w:val="1"/>
      <w:numFmt w:val="decimal"/>
      <w:pStyle w:val="Clause1"/>
      <w:lvlText w:val="%1"/>
      <w:lvlJc w:val="left"/>
      <w:pPr>
        <w:tabs>
          <w:tab w:val="num" w:pos="851"/>
        </w:tabs>
        <w:ind w:left="851" w:hanging="851"/>
      </w:pPr>
      <w:rPr>
        <w:rFonts w:ascii="Arial Bold" w:hAnsi="Arial Bold" w:cs="Times New Roman" w:hint="default"/>
        <w:b/>
        <w:i w:val="0"/>
        <w:caps w:val="0"/>
        <w:strike w:val="0"/>
        <w:dstrike w:val="0"/>
        <w:vanish w:val="0"/>
        <w:color w:val="4F6228"/>
        <w:sz w:val="22"/>
        <w:vertAlign w:val="baseline"/>
      </w:rPr>
    </w:lvl>
    <w:lvl w:ilvl="1">
      <w:start w:val="1"/>
      <w:numFmt w:val="decimal"/>
      <w:pStyle w:val="Clause2"/>
      <w:lvlText w:val="%1.%2"/>
      <w:lvlJc w:val="left"/>
      <w:pPr>
        <w:tabs>
          <w:tab w:val="num" w:pos="851"/>
        </w:tabs>
        <w:ind w:left="851" w:hanging="851"/>
      </w:pPr>
      <w:rPr>
        <w:rFonts w:ascii="Arial Bold" w:hAnsi="Arial Bold" w:cs="Times New Roman" w:hint="default"/>
        <w:b/>
        <w:i w:val="0"/>
        <w:caps w:val="0"/>
        <w:strike w:val="0"/>
        <w:dstrike w:val="0"/>
        <w:vanish w:val="0"/>
        <w:color w:val="4F6228"/>
        <w:sz w:val="20"/>
        <w:vertAlign w:val="baseline"/>
      </w:rPr>
    </w:lvl>
    <w:lvl w:ilvl="2">
      <w:start w:val="1"/>
      <w:numFmt w:val="decimal"/>
      <w:pStyle w:val="Clause3"/>
      <w:lvlText w:val="%1.%2.%3"/>
      <w:lvlJc w:val="left"/>
      <w:pPr>
        <w:tabs>
          <w:tab w:val="num" w:pos="1418"/>
        </w:tabs>
        <w:ind w:left="1418" w:hanging="851"/>
      </w:pPr>
      <w:rPr>
        <w:rFonts w:ascii="Arial" w:hAnsi="Arial" w:cs="Times New Roman" w:hint="default"/>
        <w:b w:val="0"/>
        <w:i w:val="0"/>
        <w:caps w:val="0"/>
        <w:strike w:val="0"/>
        <w:dstrike w:val="0"/>
        <w:vanish w:val="0"/>
        <w:color w:val="000000"/>
        <w:sz w:val="20"/>
        <w:effect w:val="none"/>
        <w:vertAlign w:val="baseline"/>
      </w:rPr>
    </w:lvl>
    <w:lvl w:ilvl="3">
      <w:start w:val="1"/>
      <w:numFmt w:val="none"/>
      <w:pStyle w:val="ClauseNoFormat"/>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pStyle w:val="Clause4"/>
      <w:lvlText w:val="(%5)"/>
      <w:lvlJc w:val="left"/>
      <w:pPr>
        <w:tabs>
          <w:tab w:val="num" w:pos="1418"/>
        </w:tabs>
        <w:ind w:left="1418" w:hanging="567"/>
      </w:pPr>
      <w:rPr>
        <w:rFonts w:cs="Times New Roman" w:hint="default"/>
        <w:b w:val="0"/>
        <w:bCs w:val="0"/>
        <w:i w:val="0"/>
        <w:iCs w:val="0"/>
        <w:caps w:val="0"/>
        <w:smallCaps w:val="0"/>
        <w:strike w:val="0"/>
        <w:dstrike w:val="0"/>
        <w:vanish w:val="0"/>
        <w:color w:val="000000"/>
        <w:spacing w:val="0"/>
        <w:kern w:val="0"/>
        <w:position w:val="0"/>
        <w:sz w:val="20"/>
        <w:szCs w:val="20"/>
        <w:u w:val="none"/>
        <w:vertAlign w:val="baseline"/>
      </w:rPr>
    </w:lvl>
    <w:lvl w:ilvl="5">
      <w:start w:val="1"/>
      <w:numFmt w:val="lowerRoman"/>
      <w:pStyle w:val="Clause5"/>
      <w:lvlText w:val="(%6)"/>
      <w:lvlJc w:val="left"/>
      <w:pPr>
        <w:tabs>
          <w:tab w:val="num" w:pos="2138"/>
        </w:tabs>
        <w:ind w:left="1985" w:hanging="567"/>
      </w:pPr>
      <w:rPr>
        <w:rFonts w:ascii="Arial" w:hAnsi="Arial" w:cs="Times New Roman" w:hint="default"/>
        <w:b w:val="0"/>
        <w:i w:val="0"/>
        <w:color w:val="000000"/>
        <w:sz w:val="20"/>
      </w:rPr>
    </w:lvl>
    <w:lvl w:ilvl="6">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800000"/>
        <w:sz w:val="28"/>
        <w:vertAlign w:val="baseline"/>
      </w:rPr>
    </w:lvl>
    <w:lvl w:ilvl="7">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3" w15:restartNumberingAfterBreak="0">
    <w:nsid w:val="15325669"/>
    <w:multiLevelType w:val="multilevel"/>
    <w:tmpl w:val="6354ED3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1134" w:hanging="567"/>
      </w:pPr>
      <w:rPr>
        <w:rFonts w:hint="default"/>
      </w:rPr>
    </w:lvl>
    <w:lvl w:ilvl="2">
      <w:start w:val="1"/>
      <w:numFmt w:val="lowerLetter"/>
      <w:pStyle w:val="Heading3"/>
      <w:lvlText w:val="(%3)"/>
      <w:lvlJc w:val="left"/>
      <w:pPr>
        <w:tabs>
          <w:tab w:val="num" w:pos="1701"/>
        </w:tabs>
        <w:ind w:left="1701" w:hanging="567"/>
      </w:pPr>
      <w:rPr>
        <w:rFonts w:hint="default"/>
      </w:rPr>
    </w:lvl>
    <w:lvl w:ilvl="3">
      <w:start w:val="1"/>
      <w:numFmt w:val="lowerRoman"/>
      <w:pStyle w:val="Heading4"/>
      <w:lvlText w:val="(%4)"/>
      <w:lvlJc w:val="left"/>
      <w:pPr>
        <w:tabs>
          <w:tab w:val="num" w:pos="2268"/>
        </w:tabs>
        <w:ind w:left="2268" w:hanging="567"/>
      </w:pPr>
      <w:rPr>
        <w:rFonts w:hint="default"/>
      </w:rPr>
    </w:lvl>
    <w:lvl w:ilvl="4">
      <w:start w:val="1"/>
      <w:numFmt w:val="upperLetter"/>
      <w:pStyle w:val="Heading5"/>
      <w:lvlText w:val="(%5)"/>
      <w:lvlJc w:val="left"/>
      <w:pPr>
        <w:tabs>
          <w:tab w:val="num" w:pos="2268"/>
        </w:tabs>
        <w:ind w:left="2835" w:hanging="567"/>
      </w:pPr>
      <w:rPr>
        <w:rFonts w:ascii="Arial" w:hAnsi="Arial" w:hint="default"/>
        <w:sz w:val="16"/>
        <w:szCs w:val="16"/>
      </w:rPr>
    </w:lvl>
    <w:lvl w:ilvl="5">
      <w:start w:val="1"/>
      <w:numFmt w:val="decimal"/>
      <w:lvlRestart w:val="0"/>
      <w:pStyle w:val="Heading6"/>
      <w:lvlText w:val="Schedule %6"/>
      <w:lvlJc w:val="left"/>
      <w:pPr>
        <w:tabs>
          <w:tab w:val="num" w:pos="567"/>
        </w:tabs>
        <w:ind w:left="567" w:hanging="567"/>
      </w:pPr>
      <w:rPr>
        <w:rFonts w:hint="default"/>
      </w:rPr>
    </w:lvl>
    <w:lvl w:ilvl="6">
      <w:start w:val="1"/>
      <w:numFmt w:val="decimal"/>
      <w:pStyle w:val="Heading7"/>
      <w:lvlText w:val="%7"/>
      <w:lvlJc w:val="left"/>
      <w:pPr>
        <w:tabs>
          <w:tab w:val="num" w:pos="567"/>
        </w:tabs>
        <w:ind w:left="1134" w:hanging="567"/>
      </w:pPr>
      <w:rPr>
        <w:rFonts w:hint="default"/>
      </w:rPr>
    </w:lvl>
    <w:lvl w:ilvl="7">
      <w:start w:val="1"/>
      <w:numFmt w:val="upperLetter"/>
      <w:lvlRestart w:val="0"/>
      <w:pStyle w:val="Heading8"/>
      <w:lvlText w:val="Attachment %8"/>
      <w:lvlJc w:val="left"/>
      <w:pPr>
        <w:tabs>
          <w:tab w:val="num" w:pos="567"/>
        </w:tabs>
        <w:ind w:left="1134" w:hanging="1134"/>
      </w:pPr>
      <w:rPr>
        <w:rFonts w:hint="default"/>
      </w:rPr>
    </w:lvl>
    <w:lvl w:ilvl="8">
      <w:start w:val="1"/>
      <w:numFmt w:val="upperLetter"/>
      <w:lvlRestart w:val="0"/>
      <w:pStyle w:val="Heading9"/>
      <w:lvlText w:val="Part %9"/>
      <w:lvlJc w:val="left"/>
      <w:pPr>
        <w:tabs>
          <w:tab w:val="num" w:pos="567"/>
        </w:tabs>
        <w:ind w:left="567" w:hanging="567"/>
      </w:pPr>
      <w:rPr>
        <w:rFonts w:hint="default"/>
      </w:rPr>
    </w:lvl>
  </w:abstractNum>
  <w:abstractNum w:abstractNumId="14" w15:restartNumberingAfterBreak="0">
    <w:nsid w:val="19B72A99"/>
    <w:multiLevelType w:val="hybridMultilevel"/>
    <w:tmpl w:val="0846C3FA"/>
    <w:lvl w:ilvl="0" w:tplc="D71017F0">
      <w:start w:val="1"/>
      <w:numFmt w:val="upperLetter"/>
      <w:lvlText w:val="%1."/>
      <w:lvlJc w:val="left"/>
      <w:pPr>
        <w:ind w:left="1636" w:hanging="360"/>
      </w:pPr>
      <w:rPr>
        <w:rFonts w:ascii="Arial" w:hAnsi="Arial" w:cs="Arial" w:hint="default"/>
        <w:b w:val="0"/>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5" w15:restartNumberingAfterBreak="0">
    <w:nsid w:val="1E3E6D86"/>
    <w:multiLevelType w:val="hybridMultilevel"/>
    <w:tmpl w:val="B6A43720"/>
    <w:lvl w:ilvl="0" w:tplc="FFFFFFFF">
      <w:start w:val="1"/>
      <w:numFmt w:val="decimal"/>
      <w:pStyle w:val="TableNumbered"/>
      <w:lvlText w:val="%1."/>
      <w:lvlJc w:val="left"/>
      <w:pPr>
        <w:tabs>
          <w:tab w:val="num" w:pos="397"/>
        </w:tabs>
        <w:ind w:left="397" w:hanging="397"/>
      </w:pPr>
      <w:rPr>
        <w:rFonts w:cs="Times New Roman"/>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pStyle w:val="RetSch2"/>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B95926"/>
    <w:multiLevelType w:val="hybridMultilevel"/>
    <w:tmpl w:val="37BE009E"/>
    <w:lvl w:ilvl="0" w:tplc="4F04B8C6">
      <w:start w:val="1"/>
      <w:numFmt w:val="decimal"/>
      <w:lvlText w:val="(%1)"/>
      <w:lvlJc w:val="left"/>
      <w:pPr>
        <w:ind w:left="3540" w:hanging="705"/>
      </w:pPr>
      <w:rPr>
        <w:rFonts w:hint="default"/>
      </w:r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17" w15:restartNumberingAfterBreak="0">
    <w:nsid w:val="24840B28"/>
    <w:multiLevelType w:val="multilevel"/>
    <w:tmpl w:val="496AC50A"/>
    <w:lvl w:ilvl="0">
      <w:start w:val="1"/>
      <w:numFmt w:val="bullet"/>
      <w:pStyle w:val="ListBullet"/>
      <w:lvlText w:val=""/>
      <w:lvlJc w:val="left"/>
      <w:pPr>
        <w:tabs>
          <w:tab w:val="num" w:pos="1701"/>
        </w:tabs>
        <w:ind w:left="1701" w:hanging="567"/>
      </w:pPr>
      <w:rPr>
        <w:rFonts w:ascii="Wingdings 2" w:hAnsi="Wingdings 2" w:hint="default"/>
      </w:rPr>
    </w:lvl>
    <w:lvl w:ilvl="1">
      <w:start w:val="1"/>
      <w:numFmt w:val="bullet"/>
      <w:pStyle w:val="ListBullet2"/>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8" w15:restartNumberingAfterBreak="0">
    <w:nsid w:val="2F9A7347"/>
    <w:multiLevelType w:val="multilevel"/>
    <w:tmpl w:val="485433D0"/>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9" w15:restartNumberingAfterBreak="0">
    <w:nsid w:val="2FFF0758"/>
    <w:multiLevelType w:val="multilevel"/>
    <w:tmpl w:val="29FE6442"/>
    <w:lvl w:ilvl="0">
      <w:start w:val="1"/>
      <w:numFmt w:val="decimal"/>
      <w:lvlText w:val="Schedule %1"/>
      <w:lvlJc w:val="left"/>
      <w:pPr>
        <w:tabs>
          <w:tab w:val="num" w:pos="1985"/>
        </w:tabs>
        <w:ind w:left="567" w:hanging="567"/>
      </w:pPr>
      <w:rPr>
        <w:rFonts w:cs="Times New Roman" w:hint="default"/>
        <w:b/>
        <w:bCs w:val="0"/>
        <w:i w:val="0"/>
        <w:iCs w:val="0"/>
        <w:caps w:val="0"/>
        <w:smallCaps w:val="0"/>
        <w:strike w:val="0"/>
        <w:dstrike w:val="0"/>
        <w:noProof w:val="0"/>
        <w:vanish w:val="0"/>
        <w:color w:val="0047BB"/>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1"/>
      <w:lvlText w:val="%2"/>
      <w:lvlJc w:val="left"/>
      <w:pPr>
        <w:tabs>
          <w:tab w:val="num" w:pos="567"/>
        </w:tabs>
        <w:ind w:left="567" w:hanging="567"/>
      </w:pPr>
      <w:rPr>
        <w:rFonts w:hint="default"/>
        <w:b/>
        <w:i w:val="0"/>
      </w:rPr>
    </w:lvl>
    <w:lvl w:ilvl="2">
      <w:start w:val="1"/>
      <w:numFmt w:val="decimal"/>
      <w:pStyle w:val="Sch2"/>
      <w:lvlText w:val="%2.%3"/>
      <w:lvlJc w:val="left"/>
      <w:pPr>
        <w:tabs>
          <w:tab w:val="num" w:pos="1134"/>
        </w:tabs>
        <w:ind w:left="1134" w:hanging="567"/>
      </w:pPr>
      <w:rPr>
        <w:rFonts w:hint="default"/>
      </w:rPr>
    </w:lvl>
    <w:lvl w:ilvl="3">
      <w:start w:val="1"/>
      <w:numFmt w:val="lowerLetter"/>
      <w:pStyle w:val="Sch3"/>
      <w:lvlText w:val="(%4)"/>
      <w:lvlJc w:val="left"/>
      <w:pPr>
        <w:tabs>
          <w:tab w:val="num" w:pos="1701"/>
        </w:tabs>
        <w:ind w:left="1701" w:hanging="567"/>
      </w:pPr>
      <w:rPr>
        <w:rFonts w:hint="default"/>
        <w:b w:val="0"/>
      </w:rPr>
    </w:lvl>
    <w:lvl w:ilvl="4">
      <w:start w:val="1"/>
      <w:numFmt w:val="lowerRoman"/>
      <w:pStyle w:val="Sch4"/>
      <w:lvlText w:val="(%5)"/>
      <w:lvlJc w:val="left"/>
      <w:pPr>
        <w:tabs>
          <w:tab w:val="num" w:pos="2268"/>
        </w:tabs>
        <w:ind w:left="2268" w:hanging="567"/>
      </w:pPr>
      <w:rPr>
        <w:rFonts w:cs="Times New Roman" w:hint="default"/>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Sch5"/>
      <w:lvlText w:val="(%6)"/>
      <w:lvlJc w:val="left"/>
      <w:pPr>
        <w:tabs>
          <w:tab w:val="num" w:pos="2835"/>
        </w:tabs>
        <w:ind w:left="2835" w:hanging="567"/>
      </w:pPr>
      <w:rPr>
        <w:rFonts w:hint="default"/>
      </w:rPr>
    </w:lvl>
    <w:lvl w:ilvl="6">
      <w:start w:val="1"/>
      <w:numFmt w:val="upperLetter"/>
      <w:lvlRestart w:val="1"/>
      <w:pStyle w:val="Heading6A"/>
      <w:lvlText w:val="Schedule %1%7"/>
      <w:lvlJc w:val="left"/>
      <w:pPr>
        <w:tabs>
          <w:tab w:val="num" w:pos="1985"/>
        </w:tabs>
        <w:ind w:left="567" w:hanging="567"/>
      </w:pPr>
      <w:rPr>
        <w:rFonts w:hint="default"/>
        <w:b/>
        <w:i w:val="0"/>
        <w:color w:val="195988"/>
      </w:rPr>
    </w:lvl>
    <w:lvl w:ilvl="7">
      <w:start w:val="1"/>
      <w:numFmt w:val="upperLetter"/>
      <w:pStyle w:val="Sch1A"/>
      <w:lvlText w:val="%1%8"/>
      <w:lvlJc w:val="left"/>
      <w:pPr>
        <w:tabs>
          <w:tab w:val="num" w:pos="567"/>
        </w:tabs>
        <w:ind w:left="567" w:hanging="567"/>
      </w:pPr>
      <w:rPr>
        <w:rFonts w:hint="default"/>
        <w:b/>
        <w:i w:val="0"/>
        <w:color w:val="0047BB"/>
      </w:rPr>
    </w:lvl>
    <w:lvl w:ilvl="8">
      <w:start w:val="1"/>
      <w:numFmt w:val="decimal"/>
      <w:pStyle w:val="Sch2A"/>
      <w:lvlText w:val="%3%8.%9"/>
      <w:lvlJc w:val="left"/>
      <w:pPr>
        <w:tabs>
          <w:tab w:val="num" w:pos="1134"/>
        </w:tabs>
        <w:ind w:left="1134" w:hanging="567"/>
      </w:pPr>
      <w:rPr>
        <w:rFonts w:hint="default"/>
      </w:rPr>
    </w:lvl>
  </w:abstractNum>
  <w:abstractNum w:abstractNumId="20" w15:restartNumberingAfterBreak="0">
    <w:nsid w:val="3737690F"/>
    <w:multiLevelType w:val="hybridMultilevel"/>
    <w:tmpl w:val="60980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DE07AF"/>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22" w15:restartNumberingAfterBreak="0">
    <w:nsid w:val="42910680"/>
    <w:multiLevelType w:val="multilevel"/>
    <w:tmpl w:val="33720F6E"/>
    <w:lvl w:ilvl="0">
      <w:start w:val="1"/>
      <w:numFmt w:val="decimal"/>
      <w:pStyle w:val="PrecList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3"/>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7"/>
      <w:lvlJc w:val="left"/>
      <w:pPr>
        <w:tabs>
          <w:tab w:val="num" w:pos="5103"/>
        </w:tabs>
        <w:ind w:left="5103" w:hanging="567"/>
      </w:pPr>
      <w:rPr>
        <w:rFonts w:hint="default"/>
      </w:rPr>
    </w:lvl>
    <w:lvl w:ilvl="7">
      <w:start w:val="1"/>
      <w:numFmt w:val="none"/>
      <w:lvlText w:val="%8"/>
      <w:lvlJc w:val="left"/>
      <w:pPr>
        <w:tabs>
          <w:tab w:val="num" w:pos="5670"/>
        </w:tabs>
        <w:ind w:left="5670" w:hanging="567"/>
      </w:pPr>
      <w:rPr>
        <w:rFonts w:hint="default"/>
      </w:rPr>
    </w:lvl>
    <w:lvl w:ilvl="8">
      <w:start w:val="1"/>
      <w:numFmt w:val="none"/>
      <w:lvlText w:val="%9"/>
      <w:lvlJc w:val="left"/>
      <w:pPr>
        <w:tabs>
          <w:tab w:val="num" w:pos="5670"/>
        </w:tabs>
        <w:ind w:left="5670" w:hanging="567"/>
      </w:pPr>
      <w:rPr>
        <w:rFonts w:hint="default"/>
      </w:rPr>
    </w:lvl>
  </w:abstractNum>
  <w:abstractNum w:abstractNumId="23" w15:restartNumberingAfterBreak="0">
    <w:nsid w:val="43CD5447"/>
    <w:multiLevelType w:val="multilevel"/>
    <w:tmpl w:val="140C6C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567"/>
        </w:tabs>
        <w:ind w:left="1134" w:hanging="567"/>
      </w:pPr>
      <w:rPr>
        <w:rFonts w:hint="default"/>
      </w:rPr>
    </w:lvl>
    <w:lvl w:ilvl="4">
      <w:start w:val="1"/>
      <w:numFmt w:val="upperLetter"/>
      <w:lvlText w:val="(%5)"/>
      <w:lvlJc w:val="left"/>
      <w:pPr>
        <w:tabs>
          <w:tab w:val="num" w:pos="567"/>
        </w:tabs>
        <w:ind w:left="1701" w:hanging="567"/>
      </w:pPr>
      <w:rPr>
        <w:rFonts w:ascii="Arial" w:hAnsi="Arial" w:hint="default"/>
        <w:sz w:val="16"/>
        <w:szCs w:val="16"/>
      </w:rPr>
    </w:lvl>
    <w:lvl w:ilvl="5">
      <w:start w:val="1"/>
      <w:numFmt w:val="none"/>
      <w:lvlRestart w:val="3"/>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25" w15:restartNumberingAfterBreak="0">
    <w:nsid w:val="460D24C2"/>
    <w:multiLevelType w:val="multilevel"/>
    <w:tmpl w:val="164E241E"/>
    <w:name w:val="GHdgNumbering"/>
    <w:styleLink w:val="GHdgNumbering"/>
    <w:lvl w:ilvl="0">
      <w:start w:val="1"/>
      <w:numFmt w:val="decimal"/>
      <w:pStyle w:val="GHdg1"/>
      <w:lvlText w:val="G%1"/>
      <w:lvlJc w:val="left"/>
      <w:pPr>
        <w:tabs>
          <w:tab w:val="num" w:pos="851"/>
        </w:tabs>
        <w:ind w:left="851" w:hanging="851"/>
      </w:pPr>
      <w:rPr>
        <w:rFonts w:hint="default"/>
      </w:rPr>
    </w:lvl>
    <w:lvl w:ilvl="1">
      <w:start w:val="1"/>
      <w:numFmt w:val="decimal"/>
      <w:pStyle w:val="GHdg2"/>
      <w:lvlText w:val="G%1.%2"/>
      <w:lvlJc w:val="left"/>
      <w:pPr>
        <w:tabs>
          <w:tab w:val="num" w:pos="851"/>
        </w:tabs>
        <w:ind w:left="851" w:hanging="851"/>
      </w:pPr>
      <w:rPr>
        <w:rFonts w:hint="default"/>
      </w:rPr>
    </w:lvl>
    <w:lvl w:ilvl="2">
      <w:start w:val="1"/>
      <w:numFmt w:val="lowerLetter"/>
      <w:pStyle w:val="GHdg3"/>
      <w:lvlText w:val="(%3)"/>
      <w:lvlJc w:val="left"/>
      <w:pPr>
        <w:tabs>
          <w:tab w:val="num" w:pos="1701"/>
        </w:tabs>
        <w:ind w:left="1701" w:hanging="850"/>
      </w:pPr>
      <w:rPr>
        <w:rFonts w:hint="default"/>
      </w:rPr>
    </w:lvl>
    <w:lvl w:ilvl="3">
      <w:start w:val="1"/>
      <w:numFmt w:val="decimal"/>
      <w:pStyle w:val="GHdg4"/>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493234A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0C6AE6"/>
    <w:multiLevelType w:val="multilevel"/>
    <w:tmpl w:val="A5344C0C"/>
    <w:lvl w:ilvl="0">
      <w:start w:val="1"/>
      <w:numFmt w:val="upperLetter"/>
      <w:pStyle w:val="DeedBackground"/>
      <w:lvlText w:val="%1"/>
      <w:lvlJc w:val="left"/>
      <w:pPr>
        <w:tabs>
          <w:tab w:val="num" w:pos="1701"/>
        </w:tabs>
        <w:ind w:left="1701" w:hanging="567"/>
      </w:pPr>
      <w:rPr>
        <w:rFonts w:hint="default"/>
      </w:rPr>
    </w:lvl>
    <w:lvl w:ilvl="1">
      <w:start w:val="1"/>
      <w:numFmt w:val="none"/>
      <w:lvlText w:val="%2"/>
      <w:lvlJc w:val="left"/>
      <w:pPr>
        <w:tabs>
          <w:tab w:val="num" w:pos="1701"/>
        </w:tabs>
        <w:ind w:left="1701" w:hanging="567"/>
      </w:pPr>
      <w:rPr>
        <w:rFonts w:hint="default"/>
      </w:rPr>
    </w:lvl>
    <w:lvl w:ilvl="2">
      <w:start w:val="1"/>
      <w:numFmt w:val="none"/>
      <w:lvlText w:val="%3"/>
      <w:lvlJc w:val="left"/>
      <w:pPr>
        <w:tabs>
          <w:tab w:val="num" w:pos="1701"/>
        </w:tabs>
        <w:ind w:left="1701" w:hanging="567"/>
      </w:pPr>
      <w:rPr>
        <w:rFonts w:hint="default"/>
        <w:color w:val="auto"/>
        <w:sz w:val="16"/>
        <w:szCs w:val="16"/>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1701"/>
        </w:tabs>
        <w:ind w:left="1701" w:hanging="567"/>
      </w:pPr>
      <w:rPr>
        <w:rFonts w:hint="default"/>
      </w:rPr>
    </w:lvl>
    <w:lvl w:ilvl="5">
      <w:start w:val="1"/>
      <w:numFmt w:val="none"/>
      <w:lvlText w:val=""/>
      <w:lvlJc w:val="left"/>
      <w:pPr>
        <w:tabs>
          <w:tab w:val="num" w:pos="1701"/>
        </w:tabs>
        <w:ind w:left="1701" w:hanging="567"/>
      </w:pPr>
      <w:rPr>
        <w:rFonts w:hint="default"/>
      </w:rPr>
    </w:lvl>
    <w:lvl w:ilvl="6">
      <w:start w:val="1"/>
      <w:numFmt w:val="none"/>
      <w:lvlText w:val="%7"/>
      <w:lvlJc w:val="left"/>
      <w:pPr>
        <w:tabs>
          <w:tab w:val="num" w:pos="1701"/>
        </w:tabs>
        <w:ind w:left="1701" w:hanging="567"/>
      </w:pPr>
      <w:rPr>
        <w:rFonts w:hint="default"/>
      </w:rPr>
    </w:lvl>
    <w:lvl w:ilvl="7">
      <w:start w:val="1"/>
      <w:numFmt w:val="none"/>
      <w:lvlText w:val="%8"/>
      <w:lvlJc w:val="left"/>
      <w:pPr>
        <w:tabs>
          <w:tab w:val="num" w:pos="1701"/>
        </w:tabs>
        <w:ind w:left="1701" w:hanging="567"/>
      </w:pPr>
      <w:rPr>
        <w:rFonts w:hint="default"/>
      </w:rPr>
    </w:lvl>
    <w:lvl w:ilvl="8">
      <w:start w:val="1"/>
      <w:numFmt w:val="none"/>
      <w:lvlText w:val="%9"/>
      <w:lvlJc w:val="left"/>
      <w:pPr>
        <w:tabs>
          <w:tab w:val="num" w:pos="1701"/>
        </w:tabs>
        <w:ind w:left="1134" w:firstLine="0"/>
      </w:pPr>
      <w:rPr>
        <w:rFonts w:hint="default"/>
      </w:rPr>
    </w:lvl>
  </w:abstractNum>
  <w:abstractNum w:abstractNumId="28" w15:restartNumberingAfterBreak="0">
    <w:nsid w:val="4AB53F8B"/>
    <w:multiLevelType w:val="hybridMultilevel"/>
    <w:tmpl w:val="545E0E86"/>
    <w:lvl w:ilvl="0" w:tplc="685AA3C0">
      <w:start w:val="1"/>
      <w:numFmt w:val="decimal"/>
      <w:lvlText w:val="%1."/>
      <w:lvlJc w:val="left"/>
      <w:pPr>
        <w:ind w:left="720" w:hanging="360"/>
      </w:pPr>
      <w:rPr>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0358D7"/>
    <w:multiLevelType w:val="hybridMultilevel"/>
    <w:tmpl w:val="EB20E116"/>
    <w:lvl w:ilvl="0" w:tplc="D6622548">
      <w:start w:val="1"/>
      <w:numFmt w:val="bullet"/>
      <w:pStyle w:val="PrecListBullet"/>
      <w:lvlText w:val=""/>
      <w:lvlJc w:val="left"/>
      <w:pPr>
        <w:tabs>
          <w:tab w:val="num" w:pos="284"/>
        </w:tabs>
        <w:ind w:left="284" w:hanging="284"/>
      </w:pPr>
      <w:rPr>
        <w:rFonts w:ascii="Wingdings 2" w:hAnsi="Wingdings 2" w:hint="default"/>
      </w:rPr>
    </w:lvl>
    <w:lvl w:ilvl="1" w:tplc="8384D5CE" w:tentative="1">
      <w:start w:val="1"/>
      <w:numFmt w:val="bullet"/>
      <w:lvlText w:val="o"/>
      <w:lvlJc w:val="left"/>
      <w:pPr>
        <w:tabs>
          <w:tab w:val="num" w:pos="1440"/>
        </w:tabs>
        <w:ind w:left="1440" w:hanging="360"/>
      </w:pPr>
      <w:rPr>
        <w:rFonts w:ascii="Courier New" w:hAnsi="Courier New" w:hint="default"/>
      </w:rPr>
    </w:lvl>
    <w:lvl w:ilvl="2" w:tplc="C30C22A6" w:tentative="1">
      <w:start w:val="1"/>
      <w:numFmt w:val="bullet"/>
      <w:lvlText w:val=""/>
      <w:lvlJc w:val="left"/>
      <w:pPr>
        <w:tabs>
          <w:tab w:val="num" w:pos="2160"/>
        </w:tabs>
        <w:ind w:left="2160" w:hanging="360"/>
      </w:pPr>
      <w:rPr>
        <w:rFonts w:ascii="Wingdings" w:hAnsi="Wingdings" w:hint="default"/>
      </w:rPr>
    </w:lvl>
    <w:lvl w:ilvl="3" w:tplc="A1BAE94A" w:tentative="1">
      <w:start w:val="1"/>
      <w:numFmt w:val="bullet"/>
      <w:lvlText w:val=""/>
      <w:lvlJc w:val="left"/>
      <w:pPr>
        <w:tabs>
          <w:tab w:val="num" w:pos="2880"/>
        </w:tabs>
        <w:ind w:left="2880" w:hanging="360"/>
      </w:pPr>
      <w:rPr>
        <w:rFonts w:ascii="Symbol" w:hAnsi="Symbol" w:hint="default"/>
      </w:rPr>
    </w:lvl>
    <w:lvl w:ilvl="4" w:tplc="7E70057A" w:tentative="1">
      <w:start w:val="1"/>
      <w:numFmt w:val="bullet"/>
      <w:lvlText w:val="o"/>
      <w:lvlJc w:val="left"/>
      <w:pPr>
        <w:tabs>
          <w:tab w:val="num" w:pos="3600"/>
        </w:tabs>
        <w:ind w:left="3600" w:hanging="360"/>
      </w:pPr>
      <w:rPr>
        <w:rFonts w:ascii="Courier New" w:hAnsi="Courier New" w:hint="default"/>
      </w:rPr>
    </w:lvl>
    <w:lvl w:ilvl="5" w:tplc="69764640" w:tentative="1">
      <w:start w:val="1"/>
      <w:numFmt w:val="bullet"/>
      <w:lvlText w:val=""/>
      <w:lvlJc w:val="left"/>
      <w:pPr>
        <w:tabs>
          <w:tab w:val="num" w:pos="4320"/>
        </w:tabs>
        <w:ind w:left="4320" w:hanging="360"/>
      </w:pPr>
      <w:rPr>
        <w:rFonts w:ascii="Wingdings" w:hAnsi="Wingdings" w:hint="default"/>
      </w:rPr>
    </w:lvl>
    <w:lvl w:ilvl="6" w:tplc="92C288C8" w:tentative="1">
      <w:start w:val="1"/>
      <w:numFmt w:val="bullet"/>
      <w:lvlText w:val=""/>
      <w:lvlJc w:val="left"/>
      <w:pPr>
        <w:tabs>
          <w:tab w:val="num" w:pos="5040"/>
        </w:tabs>
        <w:ind w:left="5040" w:hanging="360"/>
      </w:pPr>
      <w:rPr>
        <w:rFonts w:ascii="Symbol" w:hAnsi="Symbol" w:hint="default"/>
      </w:rPr>
    </w:lvl>
    <w:lvl w:ilvl="7" w:tplc="E03C10E6" w:tentative="1">
      <w:start w:val="1"/>
      <w:numFmt w:val="bullet"/>
      <w:lvlText w:val="o"/>
      <w:lvlJc w:val="left"/>
      <w:pPr>
        <w:tabs>
          <w:tab w:val="num" w:pos="5760"/>
        </w:tabs>
        <w:ind w:left="5760" w:hanging="360"/>
      </w:pPr>
      <w:rPr>
        <w:rFonts w:ascii="Courier New" w:hAnsi="Courier New" w:hint="default"/>
      </w:rPr>
    </w:lvl>
    <w:lvl w:ilvl="8" w:tplc="A8FEA1D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D050A2"/>
    <w:multiLevelType w:val="multilevel"/>
    <w:tmpl w:val="87B008E4"/>
    <w:lvl w:ilvl="0">
      <w:start w:val="1"/>
      <w:numFmt w:val="decimal"/>
      <w:pStyle w:val="DeedParties"/>
      <w:lvlText w:val="%1"/>
      <w:lvlJc w:val="left"/>
      <w:pPr>
        <w:tabs>
          <w:tab w:val="num" w:pos="1701"/>
        </w:tabs>
        <w:ind w:left="1701" w:hanging="567"/>
      </w:pPr>
      <w:rPr>
        <w:rFonts w:hint="default"/>
      </w:rPr>
    </w:lvl>
    <w:lvl w:ilvl="1">
      <w:start w:val="1"/>
      <w:numFmt w:val="none"/>
      <w:lvlText w:val="%2"/>
      <w:lvlJc w:val="left"/>
      <w:pPr>
        <w:tabs>
          <w:tab w:val="num" w:pos="1134"/>
        </w:tabs>
        <w:ind w:left="1134" w:hanging="567"/>
      </w:pPr>
      <w:rPr>
        <w:rFonts w:hint="default"/>
      </w:rPr>
    </w:lvl>
    <w:lvl w:ilvl="2">
      <w:start w:val="1"/>
      <w:numFmt w:val="none"/>
      <w:lvlText w:val="%3"/>
      <w:lvlJc w:val="left"/>
      <w:pPr>
        <w:tabs>
          <w:tab w:val="num" w:pos="1134"/>
        </w:tabs>
        <w:ind w:left="1134" w:hanging="567"/>
      </w:pPr>
      <w:rPr>
        <w:rFonts w:hint="default"/>
        <w:color w:val="auto"/>
        <w:sz w:val="16"/>
        <w:szCs w:val="16"/>
      </w:rPr>
    </w:lvl>
    <w:lvl w:ilvl="3">
      <w:start w:val="1"/>
      <w:numFmt w:val="none"/>
      <w:lvlText w:val=""/>
      <w:lvlJc w:val="left"/>
      <w:pPr>
        <w:tabs>
          <w:tab w:val="num" w:pos="1134"/>
        </w:tabs>
        <w:ind w:left="1134" w:hanging="567"/>
      </w:pPr>
      <w:rPr>
        <w:rFonts w:hint="default"/>
      </w:rPr>
    </w:lvl>
    <w:lvl w:ilvl="4">
      <w:start w:val="1"/>
      <w:numFmt w:val="none"/>
      <w:lvlText w:val=""/>
      <w:lvlJc w:val="left"/>
      <w:pPr>
        <w:tabs>
          <w:tab w:val="num" w:pos="1134"/>
        </w:tabs>
        <w:ind w:left="1134" w:hanging="567"/>
      </w:pPr>
      <w:rPr>
        <w:rFonts w:hint="default"/>
      </w:rPr>
    </w:lvl>
    <w:lvl w:ilvl="5">
      <w:start w:val="1"/>
      <w:numFmt w:val="none"/>
      <w:lvlText w:val=""/>
      <w:lvlJc w:val="left"/>
      <w:pPr>
        <w:tabs>
          <w:tab w:val="num" w:pos="1134"/>
        </w:tabs>
        <w:ind w:left="1134" w:hanging="567"/>
      </w:pPr>
      <w:rPr>
        <w:rFonts w:hint="default"/>
      </w:rPr>
    </w:lvl>
    <w:lvl w:ilvl="6">
      <w:start w:val="1"/>
      <w:numFmt w:val="none"/>
      <w:lvlText w:val="%7"/>
      <w:lvlJc w:val="left"/>
      <w:pPr>
        <w:tabs>
          <w:tab w:val="num" w:pos="1134"/>
        </w:tabs>
        <w:ind w:left="1134" w:hanging="567"/>
      </w:pPr>
      <w:rPr>
        <w:rFonts w:hint="default"/>
      </w:rPr>
    </w:lvl>
    <w:lvl w:ilvl="7">
      <w:start w:val="1"/>
      <w:numFmt w:val="none"/>
      <w:lvlText w:val="%8"/>
      <w:lvlJc w:val="left"/>
      <w:pPr>
        <w:tabs>
          <w:tab w:val="num" w:pos="1134"/>
        </w:tabs>
        <w:ind w:left="1134" w:hanging="567"/>
      </w:pPr>
      <w:rPr>
        <w:rFonts w:hint="default"/>
      </w:rPr>
    </w:lvl>
    <w:lvl w:ilvl="8">
      <w:start w:val="1"/>
      <w:numFmt w:val="none"/>
      <w:lvlText w:val="%9"/>
      <w:lvlJc w:val="left"/>
      <w:pPr>
        <w:tabs>
          <w:tab w:val="num" w:pos="1134"/>
        </w:tabs>
        <w:ind w:left="567" w:firstLine="0"/>
      </w:pPr>
      <w:rPr>
        <w:rFonts w:hint="default"/>
      </w:rPr>
    </w:lvl>
  </w:abstractNum>
  <w:abstractNum w:abstractNumId="31" w15:restartNumberingAfterBreak="0">
    <w:nsid w:val="74273B3C"/>
    <w:multiLevelType w:val="hybridMultilevel"/>
    <w:tmpl w:val="77FCA508"/>
    <w:lvl w:ilvl="0" w:tplc="0C090001">
      <w:start w:val="1"/>
      <w:numFmt w:val="bullet"/>
      <w:lvlText w:val=""/>
      <w:lvlJc w:val="left"/>
      <w:pPr>
        <w:ind w:left="2193" w:hanging="360"/>
      </w:pPr>
      <w:rPr>
        <w:rFonts w:ascii="Symbol" w:hAnsi="Symbol" w:hint="default"/>
      </w:rPr>
    </w:lvl>
    <w:lvl w:ilvl="1" w:tplc="0C090003" w:tentative="1">
      <w:start w:val="1"/>
      <w:numFmt w:val="bullet"/>
      <w:lvlText w:val="o"/>
      <w:lvlJc w:val="left"/>
      <w:pPr>
        <w:ind w:left="2913" w:hanging="360"/>
      </w:pPr>
      <w:rPr>
        <w:rFonts w:ascii="Courier New" w:hAnsi="Courier New" w:cs="Courier New" w:hint="default"/>
      </w:rPr>
    </w:lvl>
    <w:lvl w:ilvl="2" w:tplc="0C090005" w:tentative="1">
      <w:start w:val="1"/>
      <w:numFmt w:val="bullet"/>
      <w:lvlText w:val=""/>
      <w:lvlJc w:val="left"/>
      <w:pPr>
        <w:ind w:left="3633" w:hanging="360"/>
      </w:pPr>
      <w:rPr>
        <w:rFonts w:ascii="Wingdings" w:hAnsi="Wingdings" w:hint="default"/>
      </w:rPr>
    </w:lvl>
    <w:lvl w:ilvl="3" w:tplc="0C090001" w:tentative="1">
      <w:start w:val="1"/>
      <w:numFmt w:val="bullet"/>
      <w:lvlText w:val=""/>
      <w:lvlJc w:val="left"/>
      <w:pPr>
        <w:ind w:left="4353" w:hanging="360"/>
      </w:pPr>
      <w:rPr>
        <w:rFonts w:ascii="Symbol" w:hAnsi="Symbol" w:hint="default"/>
      </w:rPr>
    </w:lvl>
    <w:lvl w:ilvl="4" w:tplc="0C090003" w:tentative="1">
      <w:start w:val="1"/>
      <w:numFmt w:val="bullet"/>
      <w:lvlText w:val="o"/>
      <w:lvlJc w:val="left"/>
      <w:pPr>
        <w:ind w:left="5073" w:hanging="360"/>
      </w:pPr>
      <w:rPr>
        <w:rFonts w:ascii="Courier New" w:hAnsi="Courier New" w:cs="Courier New" w:hint="default"/>
      </w:rPr>
    </w:lvl>
    <w:lvl w:ilvl="5" w:tplc="0C090005" w:tentative="1">
      <w:start w:val="1"/>
      <w:numFmt w:val="bullet"/>
      <w:lvlText w:val=""/>
      <w:lvlJc w:val="left"/>
      <w:pPr>
        <w:ind w:left="5793" w:hanging="360"/>
      </w:pPr>
      <w:rPr>
        <w:rFonts w:ascii="Wingdings" w:hAnsi="Wingdings" w:hint="default"/>
      </w:rPr>
    </w:lvl>
    <w:lvl w:ilvl="6" w:tplc="0C090001" w:tentative="1">
      <w:start w:val="1"/>
      <w:numFmt w:val="bullet"/>
      <w:lvlText w:val=""/>
      <w:lvlJc w:val="left"/>
      <w:pPr>
        <w:ind w:left="6513" w:hanging="360"/>
      </w:pPr>
      <w:rPr>
        <w:rFonts w:ascii="Symbol" w:hAnsi="Symbol" w:hint="default"/>
      </w:rPr>
    </w:lvl>
    <w:lvl w:ilvl="7" w:tplc="0C090003" w:tentative="1">
      <w:start w:val="1"/>
      <w:numFmt w:val="bullet"/>
      <w:lvlText w:val="o"/>
      <w:lvlJc w:val="left"/>
      <w:pPr>
        <w:ind w:left="7233" w:hanging="360"/>
      </w:pPr>
      <w:rPr>
        <w:rFonts w:ascii="Courier New" w:hAnsi="Courier New" w:cs="Courier New" w:hint="default"/>
      </w:rPr>
    </w:lvl>
    <w:lvl w:ilvl="8" w:tplc="0C090005" w:tentative="1">
      <w:start w:val="1"/>
      <w:numFmt w:val="bullet"/>
      <w:lvlText w:val=""/>
      <w:lvlJc w:val="left"/>
      <w:pPr>
        <w:ind w:left="7953" w:hanging="360"/>
      </w:pPr>
      <w:rPr>
        <w:rFonts w:ascii="Wingdings" w:hAnsi="Wingdings" w:hint="default"/>
      </w:rPr>
    </w:lvl>
  </w:abstractNum>
  <w:abstractNum w:abstractNumId="32"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76C46F8"/>
    <w:multiLevelType w:val="hybridMultilevel"/>
    <w:tmpl w:val="74FC7ECA"/>
    <w:lvl w:ilvl="0" w:tplc="F9B06D12">
      <w:start w:val="1"/>
      <w:numFmt w:val="bullet"/>
      <w:pStyle w:val="PrecListBullet2"/>
      <w:lvlText w:val=""/>
      <w:lvlJc w:val="left"/>
      <w:pPr>
        <w:tabs>
          <w:tab w:val="num" w:pos="567"/>
        </w:tabs>
        <w:ind w:left="567" w:hanging="283"/>
      </w:pPr>
      <w:rPr>
        <w:rFonts w:ascii="Symbol" w:hAnsi="Symbol" w:hint="default"/>
      </w:rPr>
    </w:lvl>
    <w:lvl w:ilvl="1" w:tplc="AAA61EC4" w:tentative="1">
      <w:start w:val="1"/>
      <w:numFmt w:val="bullet"/>
      <w:lvlText w:val="o"/>
      <w:lvlJc w:val="left"/>
      <w:pPr>
        <w:tabs>
          <w:tab w:val="num" w:pos="1440"/>
        </w:tabs>
        <w:ind w:left="1440" w:hanging="360"/>
      </w:pPr>
      <w:rPr>
        <w:rFonts w:ascii="Courier New" w:hAnsi="Courier New" w:hint="default"/>
      </w:rPr>
    </w:lvl>
    <w:lvl w:ilvl="2" w:tplc="CA5EF2F0" w:tentative="1">
      <w:start w:val="1"/>
      <w:numFmt w:val="bullet"/>
      <w:lvlText w:val=""/>
      <w:lvlJc w:val="left"/>
      <w:pPr>
        <w:tabs>
          <w:tab w:val="num" w:pos="2160"/>
        </w:tabs>
        <w:ind w:left="2160" w:hanging="360"/>
      </w:pPr>
      <w:rPr>
        <w:rFonts w:ascii="Wingdings" w:hAnsi="Wingdings" w:hint="default"/>
      </w:rPr>
    </w:lvl>
    <w:lvl w:ilvl="3" w:tplc="89FACE84" w:tentative="1">
      <w:start w:val="1"/>
      <w:numFmt w:val="bullet"/>
      <w:lvlText w:val=""/>
      <w:lvlJc w:val="left"/>
      <w:pPr>
        <w:tabs>
          <w:tab w:val="num" w:pos="2880"/>
        </w:tabs>
        <w:ind w:left="2880" w:hanging="360"/>
      </w:pPr>
      <w:rPr>
        <w:rFonts w:ascii="Symbol" w:hAnsi="Symbol" w:hint="default"/>
      </w:rPr>
    </w:lvl>
    <w:lvl w:ilvl="4" w:tplc="2DBAAFCE" w:tentative="1">
      <w:start w:val="1"/>
      <w:numFmt w:val="bullet"/>
      <w:lvlText w:val="o"/>
      <w:lvlJc w:val="left"/>
      <w:pPr>
        <w:tabs>
          <w:tab w:val="num" w:pos="3600"/>
        </w:tabs>
        <w:ind w:left="3600" w:hanging="360"/>
      </w:pPr>
      <w:rPr>
        <w:rFonts w:ascii="Courier New" w:hAnsi="Courier New" w:hint="default"/>
      </w:rPr>
    </w:lvl>
    <w:lvl w:ilvl="5" w:tplc="1EB8EDAE" w:tentative="1">
      <w:start w:val="1"/>
      <w:numFmt w:val="bullet"/>
      <w:lvlText w:val=""/>
      <w:lvlJc w:val="left"/>
      <w:pPr>
        <w:tabs>
          <w:tab w:val="num" w:pos="4320"/>
        </w:tabs>
        <w:ind w:left="4320" w:hanging="360"/>
      </w:pPr>
      <w:rPr>
        <w:rFonts w:ascii="Wingdings" w:hAnsi="Wingdings" w:hint="default"/>
      </w:rPr>
    </w:lvl>
    <w:lvl w:ilvl="6" w:tplc="C5909F84" w:tentative="1">
      <w:start w:val="1"/>
      <w:numFmt w:val="bullet"/>
      <w:lvlText w:val=""/>
      <w:lvlJc w:val="left"/>
      <w:pPr>
        <w:tabs>
          <w:tab w:val="num" w:pos="5040"/>
        </w:tabs>
        <w:ind w:left="5040" w:hanging="360"/>
      </w:pPr>
      <w:rPr>
        <w:rFonts w:ascii="Symbol" w:hAnsi="Symbol" w:hint="default"/>
      </w:rPr>
    </w:lvl>
    <w:lvl w:ilvl="7" w:tplc="06F8B788" w:tentative="1">
      <w:start w:val="1"/>
      <w:numFmt w:val="bullet"/>
      <w:lvlText w:val="o"/>
      <w:lvlJc w:val="left"/>
      <w:pPr>
        <w:tabs>
          <w:tab w:val="num" w:pos="5760"/>
        </w:tabs>
        <w:ind w:left="5760" w:hanging="360"/>
      </w:pPr>
      <w:rPr>
        <w:rFonts w:ascii="Courier New" w:hAnsi="Courier New" w:hint="default"/>
      </w:rPr>
    </w:lvl>
    <w:lvl w:ilvl="8" w:tplc="7C0E9482" w:tentative="1">
      <w:start w:val="1"/>
      <w:numFmt w:val="bullet"/>
      <w:lvlText w:val=""/>
      <w:lvlJc w:val="left"/>
      <w:pPr>
        <w:tabs>
          <w:tab w:val="num" w:pos="6480"/>
        </w:tabs>
        <w:ind w:left="6480" w:hanging="360"/>
      </w:pPr>
      <w:rPr>
        <w:rFonts w:ascii="Wingdings" w:hAnsi="Wingdings" w:hint="default"/>
      </w:rPr>
    </w:lvl>
  </w:abstractNum>
  <w:num w:numId="1">
    <w:abstractNumId w:val="25"/>
    <w:lvlOverride w:ilvl="1">
      <w:lvl w:ilvl="1">
        <w:start w:val="1"/>
        <w:numFmt w:val="decimal"/>
        <w:pStyle w:val="GHdg2"/>
        <w:lvlText w:val="G%1.%2"/>
        <w:lvlJc w:val="left"/>
        <w:pPr>
          <w:tabs>
            <w:tab w:val="num" w:pos="851"/>
          </w:tabs>
          <w:ind w:left="851" w:hanging="851"/>
        </w:pPr>
        <w:rPr>
          <w:rFonts w:hint="default"/>
          <w:b w:val="0"/>
        </w:rPr>
      </w:lvl>
    </w:lvlOverride>
    <w:lvlOverride w:ilvl="2">
      <w:lvl w:ilvl="2">
        <w:start w:val="1"/>
        <w:numFmt w:val="lowerLetter"/>
        <w:pStyle w:val="GHdg3"/>
        <w:lvlText w:val="(%3)"/>
        <w:lvlJc w:val="left"/>
        <w:pPr>
          <w:tabs>
            <w:tab w:val="num" w:pos="1840"/>
          </w:tabs>
          <w:ind w:left="1840" w:hanging="850"/>
        </w:pPr>
        <w:rPr>
          <w:rFonts w:hint="default"/>
          <w:b w:val="0"/>
        </w:rPr>
      </w:lvl>
    </w:lvlOverride>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7"/>
  </w:num>
  <w:num w:numId="7">
    <w:abstractNumId w:val="16"/>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6"/>
  </w:num>
  <w:num w:numId="15">
    <w:abstractNumId w:val="32"/>
  </w:num>
  <w:num w:numId="16">
    <w:abstractNumId w:val="10"/>
  </w:num>
  <w:num w:numId="17">
    <w:abstractNumId w:val="27"/>
  </w:num>
  <w:num w:numId="18">
    <w:abstractNumId w:val="30"/>
  </w:num>
  <w:num w:numId="19">
    <w:abstractNumId w:val="17"/>
  </w:num>
  <w:num w:numId="20">
    <w:abstractNumId w:val="18"/>
  </w:num>
  <w:num w:numId="21">
    <w:abstractNumId w:val="2"/>
  </w:num>
  <w:num w:numId="22">
    <w:abstractNumId w:val="1"/>
  </w:num>
  <w:num w:numId="23">
    <w:abstractNumId w:val="0"/>
  </w:num>
  <w:num w:numId="24">
    <w:abstractNumId w:val="24"/>
  </w:num>
  <w:num w:numId="25">
    <w:abstractNumId w:val="11"/>
  </w:num>
  <w:num w:numId="26">
    <w:abstractNumId w:val="29"/>
  </w:num>
  <w:num w:numId="27">
    <w:abstractNumId w:val="33"/>
  </w:num>
  <w:num w:numId="28">
    <w:abstractNumId w:val="19"/>
  </w:num>
  <w:num w:numId="29">
    <w:abstractNumId w:val="15"/>
  </w:num>
  <w:num w:numId="30">
    <w:abstractNumId w:val="9"/>
  </w:num>
  <w:num w:numId="31">
    <w:abstractNumId w:val="13"/>
  </w:num>
  <w:num w:numId="32">
    <w:abstractNumId w:val="8"/>
  </w:num>
  <w:num w:numId="33">
    <w:abstractNumId w:val="13"/>
    <w:lvlOverride w:ilvl="0">
      <w:startOverride w:val="1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4"/>
  </w:num>
  <w:num w:numId="36">
    <w:abstractNumId w:val="3"/>
  </w:num>
  <w:num w:numId="37">
    <w:abstractNumId w:val="13"/>
  </w:num>
  <w:num w:numId="38">
    <w:abstractNumId w:val="6"/>
  </w:num>
  <w:num w:numId="39">
    <w:abstractNumId w:val="23"/>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1134" w:hanging="567"/>
        </w:pPr>
        <w:rPr>
          <w:rFonts w:hint="default"/>
        </w:rPr>
      </w:lvl>
    </w:lvlOverride>
    <w:lvlOverride w:ilvl="2">
      <w:lvl w:ilvl="2">
        <w:start w:val="1"/>
        <w:numFmt w:val="lowerLetter"/>
        <w:pStyle w:val="Heading3"/>
        <w:lvlText w:val="(%3)"/>
        <w:lvlJc w:val="left"/>
        <w:pPr>
          <w:tabs>
            <w:tab w:val="num" w:pos="1701"/>
          </w:tabs>
          <w:ind w:left="1701" w:hanging="567"/>
        </w:pPr>
        <w:rPr>
          <w:rFonts w:hint="default"/>
        </w:rPr>
      </w:lvl>
    </w:lvlOverride>
    <w:lvlOverride w:ilvl="3">
      <w:lvl w:ilvl="3">
        <w:start w:val="1"/>
        <w:numFmt w:val="lowerRoman"/>
        <w:pStyle w:val="Heading4"/>
        <w:lvlText w:val="(%4)"/>
        <w:lvlJc w:val="left"/>
        <w:pPr>
          <w:tabs>
            <w:tab w:val="num" w:pos="2268"/>
          </w:tabs>
          <w:ind w:left="2268" w:hanging="567"/>
        </w:pPr>
        <w:rPr>
          <w:rFonts w:hint="default"/>
        </w:rPr>
      </w:lvl>
    </w:lvlOverride>
    <w:lvlOverride w:ilvl="4">
      <w:lvl w:ilvl="4">
        <w:start w:val="1"/>
        <w:numFmt w:val="upperLetter"/>
        <w:pStyle w:val="Heading5"/>
        <w:lvlText w:val="(%5)"/>
        <w:lvlJc w:val="left"/>
        <w:pPr>
          <w:tabs>
            <w:tab w:val="num" w:pos="2268"/>
          </w:tabs>
          <w:ind w:left="2835" w:hanging="567"/>
        </w:pPr>
        <w:rPr>
          <w:rFonts w:ascii="Arial" w:hAnsi="Arial" w:hint="default"/>
          <w:sz w:val="16"/>
          <w:szCs w:val="16"/>
        </w:rPr>
      </w:lvl>
    </w:lvlOverride>
    <w:lvlOverride w:ilvl="5">
      <w:lvl w:ilvl="5">
        <w:start w:val="1"/>
        <w:numFmt w:val="decimal"/>
        <w:lvlRestart w:val="0"/>
        <w:pStyle w:val="Heading6"/>
        <w:lvlText w:val="Schedule %6"/>
        <w:lvlJc w:val="left"/>
        <w:pPr>
          <w:tabs>
            <w:tab w:val="num" w:pos="567"/>
          </w:tabs>
          <w:ind w:left="567" w:hanging="567"/>
        </w:pPr>
        <w:rPr>
          <w:rFonts w:hint="default"/>
        </w:rPr>
      </w:lvl>
    </w:lvlOverride>
    <w:lvlOverride w:ilvl="6">
      <w:lvl w:ilvl="6">
        <w:start w:val="1"/>
        <w:numFmt w:val="decimal"/>
        <w:pStyle w:val="Heading7"/>
        <w:lvlText w:val="%7"/>
        <w:lvlJc w:val="left"/>
        <w:pPr>
          <w:tabs>
            <w:tab w:val="num" w:pos="567"/>
          </w:tabs>
          <w:ind w:left="1134" w:hanging="567"/>
        </w:pPr>
        <w:rPr>
          <w:rFonts w:hint="default"/>
        </w:rPr>
      </w:lvl>
    </w:lvlOverride>
    <w:lvlOverride w:ilvl="7">
      <w:lvl w:ilvl="7">
        <w:start w:val="1"/>
        <w:numFmt w:val="upperLetter"/>
        <w:lvlRestart w:val="0"/>
        <w:pStyle w:val="Heading8"/>
        <w:lvlText w:val="Attachment %8"/>
        <w:lvlJc w:val="left"/>
        <w:pPr>
          <w:tabs>
            <w:tab w:val="num" w:pos="567"/>
          </w:tabs>
          <w:ind w:left="1134" w:hanging="1134"/>
        </w:pPr>
        <w:rPr>
          <w:rFonts w:hint="default"/>
        </w:rPr>
      </w:lvl>
    </w:lvlOverride>
    <w:lvlOverride w:ilvl="8">
      <w:lvl w:ilvl="8">
        <w:start w:val="1"/>
        <w:numFmt w:val="upperLetter"/>
        <w:lvlRestart w:val="0"/>
        <w:pStyle w:val="Heading9"/>
        <w:lvlText w:val="Part %9"/>
        <w:lvlJc w:val="left"/>
        <w:pPr>
          <w:tabs>
            <w:tab w:val="num" w:pos="567"/>
          </w:tabs>
          <w:ind w:left="567" w:hanging="567"/>
        </w:pPr>
        <w:rPr>
          <w:rFonts w:hint="default"/>
        </w:rPr>
      </w:lvl>
    </w:lvlOverride>
  </w:num>
  <w:num w:numId="49">
    <w:abstractNumId w:val="31"/>
  </w:num>
  <w:num w:numId="50">
    <w:abstractNumId w:val="20"/>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17"/>
  </w:num>
  <w:num w:numId="70">
    <w:abstractNumId w:val="17"/>
  </w:num>
  <w:num w:numId="71">
    <w:abstractNumId w:val="17"/>
  </w:num>
  <w:num w:numId="72">
    <w:abstractNumId w:val="17"/>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17"/>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num>
  <w:num w:numId="99">
    <w:abstractNumId w:val="17"/>
  </w:num>
  <w:num w:numId="100">
    <w:abstractNumId w:val="17"/>
  </w:num>
  <w:num w:numId="101">
    <w:abstractNumId w:val="17"/>
  </w:num>
  <w:num w:numId="102">
    <w:abstractNumId w:val="17"/>
  </w:num>
  <w:num w:numId="103">
    <w:abstractNumId w:val="17"/>
  </w:num>
  <w:num w:numId="104">
    <w:abstractNumId w:val="17"/>
  </w:num>
  <w:num w:numId="105">
    <w:abstractNumId w:val="17"/>
  </w:num>
  <w:num w:numId="106">
    <w:abstractNumId w:val="17"/>
  </w:num>
  <w:num w:numId="107">
    <w:abstractNumId w:val="17"/>
  </w:num>
  <w:num w:numId="108">
    <w:abstractNumId w:val="17"/>
  </w:num>
  <w:num w:numId="109">
    <w:abstractNumId w:val="17"/>
  </w:num>
  <w:num w:numId="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noPunctuationKerning/>
  <w:characterSpacingControl w:val="doNotCompress"/>
  <w:hdrShapeDefaults>
    <o:shapedefaults v:ext="edit" spidmax="30721"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yleSet" w:val="2. Standard Deed_Agreement"/>
    <w:docVar w:name="xFooterText" w:val="3436-8568-9358 v2"/>
  </w:docVars>
  <w:rsids>
    <w:rsidRoot w:val="008B635B"/>
    <w:rsid w:val="000000C6"/>
    <w:rsid w:val="00001A4C"/>
    <w:rsid w:val="00002E3B"/>
    <w:rsid w:val="00004D5F"/>
    <w:rsid w:val="00007AE0"/>
    <w:rsid w:val="000105AE"/>
    <w:rsid w:val="0001148F"/>
    <w:rsid w:val="000121E1"/>
    <w:rsid w:val="000147F5"/>
    <w:rsid w:val="00014C23"/>
    <w:rsid w:val="00020945"/>
    <w:rsid w:val="00022061"/>
    <w:rsid w:val="00022158"/>
    <w:rsid w:val="000244D2"/>
    <w:rsid w:val="00026538"/>
    <w:rsid w:val="0002773B"/>
    <w:rsid w:val="00031349"/>
    <w:rsid w:val="000330A6"/>
    <w:rsid w:val="00033534"/>
    <w:rsid w:val="00034374"/>
    <w:rsid w:val="00035E7B"/>
    <w:rsid w:val="00036E8C"/>
    <w:rsid w:val="00040626"/>
    <w:rsid w:val="00040DC5"/>
    <w:rsid w:val="00042534"/>
    <w:rsid w:val="00042599"/>
    <w:rsid w:val="000446F8"/>
    <w:rsid w:val="00045CB1"/>
    <w:rsid w:val="000526AF"/>
    <w:rsid w:val="0005285A"/>
    <w:rsid w:val="00053877"/>
    <w:rsid w:val="00053D0F"/>
    <w:rsid w:val="000541A7"/>
    <w:rsid w:val="00055703"/>
    <w:rsid w:val="00056177"/>
    <w:rsid w:val="000566E5"/>
    <w:rsid w:val="0005710F"/>
    <w:rsid w:val="000575C3"/>
    <w:rsid w:val="000602FA"/>
    <w:rsid w:val="00061025"/>
    <w:rsid w:val="00065238"/>
    <w:rsid w:val="0006557B"/>
    <w:rsid w:val="0006591E"/>
    <w:rsid w:val="00070C7C"/>
    <w:rsid w:val="0007213D"/>
    <w:rsid w:val="00074386"/>
    <w:rsid w:val="00074C20"/>
    <w:rsid w:val="00074CC4"/>
    <w:rsid w:val="00075C95"/>
    <w:rsid w:val="00077959"/>
    <w:rsid w:val="000804C8"/>
    <w:rsid w:val="0008095E"/>
    <w:rsid w:val="00082E91"/>
    <w:rsid w:val="00085647"/>
    <w:rsid w:val="0008625B"/>
    <w:rsid w:val="00086D7D"/>
    <w:rsid w:val="00090BAB"/>
    <w:rsid w:val="0009142B"/>
    <w:rsid w:val="00091C8B"/>
    <w:rsid w:val="00091E4B"/>
    <w:rsid w:val="00093017"/>
    <w:rsid w:val="00093B43"/>
    <w:rsid w:val="00093BD7"/>
    <w:rsid w:val="00094A15"/>
    <w:rsid w:val="00095D35"/>
    <w:rsid w:val="00096AD2"/>
    <w:rsid w:val="00096D72"/>
    <w:rsid w:val="00097627"/>
    <w:rsid w:val="000976FA"/>
    <w:rsid w:val="000A0875"/>
    <w:rsid w:val="000A1A68"/>
    <w:rsid w:val="000A1FDB"/>
    <w:rsid w:val="000A3BF0"/>
    <w:rsid w:val="000A49D9"/>
    <w:rsid w:val="000A7E57"/>
    <w:rsid w:val="000B3342"/>
    <w:rsid w:val="000B5DFD"/>
    <w:rsid w:val="000B6C81"/>
    <w:rsid w:val="000B7025"/>
    <w:rsid w:val="000C3B65"/>
    <w:rsid w:val="000C5CFA"/>
    <w:rsid w:val="000C6CE5"/>
    <w:rsid w:val="000D0000"/>
    <w:rsid w:val="000D0DDC"/>
    <w:rsid w:val="000D0F87"/>
    <w:rsid w:val="000D2E9D"/>
    <w:rsid w:val="000D3447"/>
    <w:rsid w:val="000D5EE7"/>
    <w:rsid w:val="000D6EF2"/>
    <w:rsid w:val="000E23ED"/>
    <w:rsid w:val="000E275A"/>
    <w:rsid w:val="000E347E"/>
    <w:rsid w:val="000E39C6"/>
    <w:rsid w:val="000E3DE6"/>
    <w:rsid w:val="000E4947"/>
    <w:rsid w:val="000F0CD3"/>
    <w:rsid w:val="000F219F"/>
    <w:rsid w:val="000F476B"/>
    <w:rsid w:val="000F6D85"/>
    <w:rsid w:val="000F6EB6"/>
    <w:rsid w:val="000F70B5"/>
    <w:rsid w:val="000F7182"/>
    <w:rsid w:val="00100363"/>
    <w:rsid w:val="00102F00"/>
    <w:rsid w:val="001035FA"/>
    <w:rsid w:val="00103D59"/>
    <w:rsid w:val="00105DAA"/>
    <w:rsid w:val="00105E76"/>
    <w:rsid w:val="00106761"/>
    <w:rsid w:val="00110299"/>
    <w:rsid w:val="001107DB"/>
    <w:rsid w:val="00111B1F"/>
    <w:rsid w:val="00113597"/>
    <w:rsid w:val="00113AA9"/>
    <w:rsid w:val="00115934"/>
    <w:rsid w:val="0011634A"/>
    <w:rsid w:val="00117726"/>
    <w:rsid w:val="00117B20"/>
    <w:rsid w:val="00120544"/>
    <w:rsid w:val="00122558"/>
    <w:rsid w:val="001228FA"/>
    <w:rsid w:val="00122FCC"/>
    <w:rsid w:val="00124CBF"/>
    <w:rsid w:val="00125C30"/>
    <w:rsid w:val="0012671C"/>
    <w:rsid w:val="00127122"/>
    <w:rsid w:val="00130878"/>
    <w:rsid w:val="0013158B"/>
    <w:rsid w:val="00131F3E"/>
    <w:rsid w:val="00134213"/>
    <w:rsid w:val="00134FD9"/>
    <w:rsid w:val="00136953"/>
    <w:rsid w:val="00137DD4"/>
    <w:rsid w:val="00140590"/>
    <w:rsid w:val="00140EB2"/>
    <w:rsid w:val="00141391"/>
    <w:rsid w:val="00141EC8"/>
    <w:rsid w:val="00142298"/>
    <w:rsid w:val="001430EA"/>
    <w:rsid w:val="001431BB"/>
    <w:rsid w:val="001449A3"/>
    <w:rsid w:val="00144CCA"/>
    <w:rsid w:val="001454DF"/>
    <w:rsid w:val="00146753"/>
    <w:rsid w:val="0014776C"/>
    <w:rsid w:val="001515C7"/>
    <w:rsid w:val="00154EB9"/>
    <w:rsid w:val="00156AFB"/>
    <w:rsid w:val="00157A46"/>
    <w:rsid w:val="00157EC2"/>
    <w:rsid w:val="001612E3"/>
    <w:rsid w:val="00163F03"/>
    <w:rsid w:val="00164940"/>
    <w:rsid w:val="00165273"/>
    <w:rsid w:val="00165478"/>
    <w:rsid w:val="001665B7"/>
    <w:rsid w:val="00167EE4"/>
    <w:rsid w:val="00171FB6"/>
    <w:rsid w:val="00175BCB"/>
    <w:rsid w:val="00180961"/>
    <w:rsid w:val="00180A6E"/>
    <w:rsid w:val="00180AC9"/>
    <w:rsid w:val="001813CD"/>
    <w:rsid w:val="00182353"/>
    <w:rsid w:val="001825DB"/>
    <w:rsid w:val="00183984"/>
    <w:rsid w:val="00183A48"/>
    <w:rsid w:val="00185ADD"/>
    <w:rsid w:val="00190974"/>
    <w:rsid w:val="00191795"/>
    <w:rsid w:val="00191CEC"/>
    <w:rsid w:val="001921B8"/>
    <w:rsid w:val="00195CB3"/>
    <w:rsid w:val="001A38B8"/>
    <w:rsid w:val="001A4259"/>
    <w:rsid w:val="001A4E92"/>
    <w:rsid w:val="001A78A2"/>
    <w:rsid w:val="001B2054"/>
    <w:rsid w:val="001B3133"/>
    <w:rsid w:val="001B3DFC"/>
    <w:rsid w:val="001B43A8"/>
    <w:rsid w:val="001B5B31"/>
    <w:rsid w:val="001B69B8"/>
    <w:rsid w:val="001B71E5"/>
    <w:rsid w:val="001B7B23"/>
    <w:rsid w:val="001B7C5A"/>
    <w:rsid w:val="001C0158"/>
    <w:rsid w:val="001C189C"/>
    <w:rsid w:val="001C1952"/>
    <w:rsid w:val="001C1F82"/>
    <w:rsid w:val="001C24E5"/>
    <w:rsid w:val="001C2DB1"/>
    <w:rsid w:val="001C4CCB"/>
    <w:rsid w:val="001C5A02"/>
    <w:rsid w:val="001C6304"/>
    <w:rsid w:val="001C6625"/>
    <w:rsid w:val="001C7727"/>
    <w:rsid w:val="001D007D"/>
    <w:rsid w:val="001D0DFA"/>
    <w:rsid w:val="001D21FF"/>
    <w:rsid w:val="001D27E4"/>
    <w:rsid w:val="001D3AD6"/>
    <w:rsid w:val="001D4AC0"/>
    <w:rsid w:val="001D70CB"/>
    <w:rsid w:val="001D76D4"/>
    <w:rsid w:val="001E2709"/>
    <w:rsid w:val="001E432E"/>
    <w:rsid w:val="001E5D37"/>
    <w:rsid w:val="001E7A38"/>
    <w:rsid w:val="001F000A"/>
    <w:rsid w:val="001F18CC"/>
    <w:rsid w:val="001F5D92"/>
    <w:rsid w:val="001F6B33"/>
    <w:rsid w:val="001F6EA3"/>
    <w:rsid w:val="002038DB"/>
    <w:rsid w:val="00203A70"/>
    <w:rsid w:val="002049D7"/>
    <w:rsid w:val="00207089"/>
    <w:rsid w:val="00212973"/>
    <w:rsid w:val="0021329F"/>
    <w:rsid w:val="002136FF"/>
    <w:rsid w:val="00214048"/>
    <w:rsid w:val="00214ECA"/>
    <w:rsid w:val="0021612B"/>
    <w:rsid w:val="00220B72"/>
    <w:rsid w:val="00220DC0"/>
    <w:rsid w:val="002213FC"/>
    <w:rsid w:val="00221B2E"/>
    <w:rsid w:val="00221EF8"/>
    <w:rsid w:val="00230A2C"/>
    <w:rsid w:val="00230D97"/>
    <w:rsid w:val="00230FC2"/>
    <w:rsid w:val="002312D2"/>
    <w:rsid w:val="00231EA5"/>
    <w:rsid w:val="0023394D"/>
    <w:rsid w:val="00234694"/>
    <w:rsid w:val="00234703"/>
    <w:rsid w:val="00234BEE"/>
    <w:rsid w:val="002351D0"/>
    <w:rsid w:val="00235FD1"/>
    <w:rsid w:val="00236F26"/>
    <w:rsid w:val="00240E89"/>
    <w:rsid w:val="0024155E"/>
    <w:rsid w:val="00242F88"/>
    <w:rsid w:val="00245406"/>
    <w:rsid w:val="00246DD8"/>
    <w:rsid w:val="00251239"/>
    <w:rsid w:val="00253111"/>
    <w:rsid w:val="002537D0"/>
    <w:rsid w:val="00253A5A"/>
    <w:rsid w:val="00257D20"/>
    <w:rsid w:val="002603D8"/>
    <w:rsid w:val="00261D29"/>
    <w:rsid w:val="002620B0"/>
    <w:rsid w:val="00264FF0"/>
    <w:rsid w:val="002674DF"/>
    <w:rsid w:val="0027083D"/>
    <w:rsid w:val="002715DC"/>
    <w:rsid w:val="00272B4A"/>
    <w:rsid w:val="00272F31"/>
    <w:rsid w:val="002734E2"/>
    <w:rsid w:val="0027444B"/>
    <w:rsid w:val="00282424"/>
    <w:rsid w:val="0028292E"/>
    <w:rsid w:val="0028408F"/>
    <w:rsid w:val="00284877"/>
    <w:rsid w:val="00285576"/>
    <w:rsid w:val="002908AE"/>
    <w:rsid w:val="0029131F"/>
    <w:rsid w:val="00291E41"/>
    <w:rsid w:val="0029221A"/>
    <w:rsid w:val="00293545"/>
    <w:rsid w:val="00293C2B"/>
    <w:rsid w:val="00296397"/>
    <w:rsid w:val="002976CC"/>
    <w:rsid w:val="002A0F6A"/>
    <w:rsid w:val="002A30EE"/>
    <w:rsid w:val="002A5AF5"/>
    <w:rsid w:val="002A5B47"/>
    <w:rsid w:val="002B0942"/>
    <w:rsid w:val="002B094B"/>
    <w:rsid w:val="002B15C6"/>
    <w:rsid w:val="002B1B2C"/>
    <w:rsid w:val="002B7534"/>
    <w:rsid w:val="002C0CE4"/>
    <w:rsid w:val="002C1329"/>
    <w:rsid w:val="002C1EF7"/>
    <w:rsid w:val="002C7F37"/>
    <w:rsid w:val="002D1BA3"/>
    <w:rsid w:val="002D2C53"/>
    <w:rsid w:val="002D2EE2"/>
    <w:rsid w:val="002D3BC4"/>
    <w:rsid w:val="002D4366"/>
    <w:rsid w:val="002D53EB"/>
    <w:rsid w:val="002D5430"/>
    <w:rsid w:val="002D58DF"/>
    <w:rsid w:val="002E0274"/>
    <w:rsid w:val="002E325E"/>
    <w:rsid w:val="002E33CD"/>
    <w:rsid w:val="002E48BD"/>
    <w:rsid w:val="002E620F"/>
    <w:rsid w:val="002E64AD"/>
    <w:rsid w:val="002E7974"/>
    <w:rsid w:val="002E7CC0"/>
    <w:rsid w:val="002F060F"/>
    <w:rsid w:val="002F1B79"/>
    <w:rsid w:val="002F2129"/>
    <w:rsid w:val="002F3C0C"/>
    <w:rsid w:val="002F44E5"/>
    <w:rsid w:val="002F5888"/>
    <w:rsid w:val="00304968"/>
    <w:rsid w:val="00304DDD"/>
    <w:rsid w:val="00304E77"/>
    <w:rsid w:val="0031129C"/>
    <w:rsid w:val="0031191C"/>
    <w:rsid w:val="00311BA2"/>
    <w:rsid w:val="00311BAB"/>
    <w:rsid w:val="00311CA9"/>
    <w:rsid w:val="00311D14"/>
    <w:rsid w:val="00312A02"/>
    <w:rsid w:val="00313AF1"/>
    <w:rsid w:val="00313C1C"/>
    <w:rsid w:val="003149FF"/>
    <w:rsid w:val="00316684"/>
    <w:rsid w:val="00317F69"/>
    <w:rsid w:val="003200BB"/>
    <w:rsid w:val="00324E1E"/>
    <w:rsid w:val="00326E71"/>
    <w:rsid w:val="0032770D"/>
    <w:rsid w:val="00327B05"/>
    <w:rsid w:val="00331179"/>
    <w:rsid w:val="00333490"/>
    <w:rsid w:val="00335DCB"/>
    <w:rsid w:val="00335F65"/>
    <w:rsid w:val="00341A00"/>
    <w:rsid w:val="00342D3D"/>
    <w:rsid w:val="00344DCA"/>
    <w:rsid w:val="00345FC7"/>
    <w:rsid w:val="00346336"/>
    <w:rsid w:val="003467D1"/>
    <w:rsid w:val="00347B6E"/>
    <w:rsid w:val="00350053"/>
    <w:rsid w:val="00350592"/>
    <w:rsid w:val="00350688"/>
    <w:rsid w:val="003507D2"/>
    <w:rsid w:val="003534A3"/>
    <w:rsid w:val="003534F8"/>
    <w:rsid w:val="003542AD"/>
    <w:rsid w:val="003543ED"/>
    <w:rsid w:val="0035770B"/>
    <w:rsid w:val="0036035A"/>
    <w:rsid w:val="00361441"/>
    <w:rsid w:val="00361AFC"/>
    <w:rsid w:val="00362775"/>
    <w:rsid w:val="003628E0"/>
    <w:rsid w:val="0036639E"/>
    <w:rsid w:val="00367567"/>
    <w:rsid w:val="003701B4"/>
    <w:rsid w:val="00371FA0"/>
    <w:rsid w:val="00372943"/>
    <w:rsid w:val="0037515F"/>
    <w:rsid w:val="003753B2"/>
    <w:rsid w:val="0037666E"/>
    <w:rsid w:val="00376F18"/>
    <w:rsid w:val="0038098A"/>
    <w:rsid w:val="00380DCC"/>
    <w:rsid w:val="003810DE"/>
    <w:rsid w:val="00384C2C"/>
    <w:rsid w:val="003859B3"/>
    <w:rsid w:val="00390B13"/>
    <w:rsid w:val="00392EAD"/>
    <w:rsid w:val="00393755"/>
    <w:rsid w:val="003A0344"/>
    <w:rsid w:val="003A1E40"/>
    <w:rsid w:val="003A268C"/>
    <w:rsid w:val="003A3155"/>
    <w:rsid w:val="003A3BBD"/>
    <w:rsid w:val="003A41F3"/>
    <w:rsid w:val="003A691E"/>
    <w:rsid w:val="003B15C5"/>
    <w:rsid w:val="003B3C93"/>
    <w:rsid w:val="003B56C2"/>
    <w:rsid w:val="003C00A9"/>
    <w:rsid w:val="003C0509"/>
    <w:rsid w:val="003C0DC4"/>
    <w:rsid w:val="003C0F93"/>
    <w:rsid w:val="003C209F"/>
    <w:rsid w:val="003C21E8"/>
    <w:rsid w:val="003C29B3"/>
    <w:rsid w:val="003C3EA3"/>
    <w:rsid w:val="003C54AC"/>
    <w:rsid w:val="003C77B1"/>
    <w:rsid w:val="003C7D4B"/>
    <w:rsid w:val="003D18CB"/>
    <w:rsid w:val="003D36F2"/>
    <w:rsid w:val="003D3D07"/>
    <w:rsid w:val="003D3F01"/>
    <w:rsid w:val="003D4DB7"/>
    <w:rsid w:val="003D6A26"/>
    <w:rsid w:val="003D7C50"/>
    <w:rsid w:val="003E08A4"/>
    <w:rsid w:val="003E11C6"/>
    <w:rsid w:val="003E19EE"/>
    <w:rsid w:val="003E2123"/>
    <w:rsid w:val="003E2C44"/>
    <w:rsid w:val="003E2FB7"/>
    <w:rsid w:val="003E3179"/>
    <w:rsid w:val="003E4EA4"/>
    <w:rsid w:val="003E5FA4"/>
    <w:rsid w:val="003E62A7"/>
    <w:rsid w:val="003F0327"/>
    <w:rsid w:val="003F0361"/>
    <w:rsid w:val="003F281F"/>
    <w:rsid w:val="003F70B3"/>
    <w:rsid w:val="003F70EE"/>
    <w:rsid w:val="003F7584"/>
    <w:rsid w:val="0040025A"/>
    <w:rsid w:val="00400D03"/>
    <w:rsid w:val="0040357F"/>
    <w:rsid w:val="00403875"/>
    <w:rsid w:val="00403AD6"/>
    <w:rsid w:val="0040495A"/>
    <w:rsid w:val="00406336"/>
    <w:rsid w:val="00406463"/>
    <w:rsid w:val="00406523"/>
    <w:rsid w:val="004076CA"/>
    <w:rsid w:val="004120D2"/>
    <w:rsid w:val="00414ECD"/>
    <w:rsid w:val="00416C05"/>
    <w:rsid w:val="004173ED"/>
    <w:rsid w:val="004202A4"/>
    <w:rsid w:val="00421142"/>
    <w:rsid w:val="00421602"/>
    <w:rsid w:val="00426106"/>
    <w:rsid w:val="00427E07"/>
    <w:rsid w:val="0043085B"/>
    <w:rsid w:val="0043100B"/>
    <w:rsid w:val="00431085"/>
    <w:rsid w:val="00432756"/>
    <w:rsid w:val="00433958"/>
    <w:rsid w:val="0043404C"/>
    <w:rsid w:val="00434C18"/>
    <w:rsid w:val="00436821"/>
    <w:rsid w:val="00436AB9"/>
    <w:rsid w:val="004370D6"/>
    <w:rsid w:val="00440585"/>
    <w:rsid w:val="00440C6D"/>
    <w:rsid w:val="00440F4B"/>
    <w:rsid w:val="00441740"/>
    <w:rsid w:val="0044199A"/>
    <w:rsid w:val="00442130"/>
    <w:rsid w:val="00442A17"/>
    <w:rsid w:val="00443393"/>
    <w:rsid w:val="00445318"/>
    <w:rsid w:val="00447287"/>
    <w:rsid w:val="00450848"/>
    <w:rsid w:val="00452C76"/>
    <w:rsid w:val="004535C5"/>
    <w:rsid w:val="00454499"/>
    <w:rsid w:val="004561E2"/>
    <w:rsid w:val="00456403"/>
    <w:rsid w:val="00460694"/>
    <w:rsid w:val="004615AB"/>
    <w:rsid w:val="00461B76"/>
    <w:rsid w:val="00462821"/>
    <w:rsid w:val="00465762"/>
    <w:rsid w:val="00465C64"/>
    <w:rsid w:val="00470582"/>
    <w:rsid w:val="00470779"/>
    <w:rsid w:val="00470B03"/>
    <w:rsid w:val="00472A96"/>
    <w:rsid w:val="00475EBB"/>
    <w:rsid w:val="0047791B"/>
    <w:rsid w:val="00480953"/>
    <w:rsid w:val="00481029"/>
    <w:rsid w:val="00481A84"/>
    <w:rsid w:val="00485501"/>
    <w:rsid w:val="00490F72"/>
    <w:rsid w:val="004933DE"/>
    <w:rsid w:val="004956ED"/>
    <w:rsid w:val="00495A8B"/>
    <w:rsid w:val="004A0FDF"/>
    <w:rsid w:val="004A14A7"/>
    <w:rsid w:val="004A2572"/>
    <w:rsid w:val="004A286E"/>
    <w:rsid w:val="004A332A"/>
    <w:rsid w:val="004A3A06"/>
    <w:rsid w:val="004B1292"/>
    <w:rsid w:val="004B171B"/>
    <w:rsid w:val="004B2DB5"/>
    <w:rsid w:val="004B40B3"/>
    <w:rsid w:val="004B6356"/>
    <w:rsid w:val="004C0701"/>
    <w:rsid w:val="004C09E0"/>
    <w:rsid w:val="004C20CE"/>
    <w:rsid w:val="004C2E0C"/>
    <w:rsid w:val="004C3AC9"/>
    <w:rsid w:val="004C3F70"/>
    <w:rsid w:val="004C41C9"/>
    <w:rsid w:val="004C5044"/>
    <w:rsid w:val="004C50D5"/>
    <w:rsid w:val="004C5E4E"/>
    <w:rsid w:val="004C638F"/>
    <w:rsid w:val="004C7A85"/>
    <w:rsid w:val="004D2BBF"/>
    <w:rsid w:val="004D3880"/>
    <w:rsid w:val="004D44B8"/>
    <w:rsid w:val="004D6EF3"/>
    <w:rsid w:val="004E2931"/>
    <w:rsid w:val="004E2CA7"/>
    <w:rsid w:val="004E30E3"/>
    <w:rsid w:val="004E387A"/>
    <w:rsid w:val="004E7135"/>
    <w:rsid w:val="004F1327"/>
    <w:rsid w:val="004F2849"/>
    <w:rsid w:val="004F3207"/>
    <w:rsid w:val="004F4363"/>
    <w:rsid w:val="00502FE6"/>
    <w:rsid w:val="0050328D"/>
    <w:rsid w:val="00504CD8"/>
    <w:rsid w:val="005051E2"/>
    <w:rsid w:val="00505FDB"/>
    <w:rsid w:val="00506F0C"/>
    <w:rsid w:val="00507898"/>
    <w:rsid w:val="005110F7"/>
    <w:rsid w:val="005143A2"/>
    <w:rsid w:val="005143E3"/>
    <w:rsid w:val="00515EC3"/>
    <w:rsid w:val="005205F0"/>
    <w:rsid w:val="00527182"/>
    <w:rsid w:val="00530479"/>
    <w:rsid w:val="00530BAF"/>
    <w:rsid w:val="005328FF"/>
    <w:rsid w:val="00532AFB"/>
    <w:rsid w:val="00535353"/>
    <w:rsid w:val="005356CD"/>
    <w:rsid w:val="005358CB"/>
    <w:rsid w:val="00535D9D"/>
    <w:rsid w:val="005368E6"/>
    <w:rsid w:val="00536AD8"/>
    <w:rsid w:val="00541060"/>
    <w:rsid w:val="00541BFE"/>
    <w:rsid w:val="00544CA5"/>
    <w:rsid w:val="00545F56"/>
    <w:rsid w:val="00546D78"/>
    <w:rsid w:val="0055278C"/>
    <w:rsid w:val="00552D3A"/>
    <w:rsid w:val="00554A0D"/>
    <w:rsid w:val="005568F8"/>
    <w:rsid w:val="00557064"/>
    <w:rsid w:val="00560AFA"/>
    <w:rsid w:val="005618EA"/>
    <w:rsid w:val="00562F6B"/>
    <w:rsid w:val="005631AA"/>
    <w:rsid w:val="00563F24"/>
    <w:rsid w:val="0056459F"/>
    <w:rsid w:val="005645D1"/>
    <w:rsid w:val="00564BB3"/>
    <w:rsid w:val="00564DD2"/>
    <w:rsid w:val="00565057"/>
    <w:rsid w:val="00565350"/>
    <w:rsid w:val="00565496"/>
    <w:rsid w:val="00572473"/>
    <w:rsid w:val="005731F7"/>
    <w:rsid w:val="00574DD1"/>
    <w:rsid w:val="00574E94"/>
    <w:rsid w:val="00574FD1"/>
    <w:rsid w:val="005775A6"/>
    <w:rsid w:val="00577BB3"/>
    <w:rsid w:val="005804EA"/>
    <w:rsid w:val="005833EC"/>
    <w:rsid w:val="00590F6E"/>
    <w:rsid w:val="00591E15"/>
    <w:rsid w:val="00592F71"/>
    <w:rsid w:val="00594024"/>
    <w:rsid w:val="00595B29"/>
    <w:rsid w:val="00596F47"/>
    <w:rsid w:val="005979A5"/>
    <w:rsid w:val="00597B63"/>
    <w:rsid w:val="005A071A"/>
    <w:rsid w:val="005A2DEF"/>
    <w:rsid w:val="005A303B"/>
    <w:rsid w:val="005A44F4"/>
    <w:rsid w:val="005A5421"/>
    <w:rsid w:val="005B0908"/>
    <w:rsid w:val="005B2871"/>
    <w:rsid w:val="005B2B19"/>
    <w:rsid w:val="005B2F38"/>
    <w:rsid w:val="005B5CF2"/>
    <w:rsid w:val="005B7840"/>
    <w:rsid w:val="005C0AD6"/>
    <w:rsid w:val="005C1027"/>
    <w:rsid w:val="005C2B84"/>
    <w:rsid w:val="005C5CAB"/>
    <w:rsid w:val="005C5CB7"/>
    <w:rsid w:val="005C7BBC"/>
    <w:rsid w:val="005D008E"/>
    <w:rsid w:val="005D00AB"/>
    <w:rsid w:val="005D041F"/>
    <w:rsid w:val="005D0CEE"/>
    <w:rsid w:val="005D1437"/>
    <w:rsid w:val="005D16EA"/>
    <w:rsid w:val="005D1FA0"/>
    <w:rsid w:val="005D2413"/>
    <w:rsid w:val="005D3342"/>
    <w:rsid w:val="005D558E"/>
    <w:rsid w:val="005D6111"/>
    <w:rsid w:val="005D6550"/>
    <w:rsid w:val="005E2DCC"/>
    <w:rsid w:val="005E51DC"/>
    <w:rsid w:val="005E56A2"/>
    <w:rsid w:val="005E5E1C"/>
    <w:rsid w:val="005E7162"/>
    <w:rsid w:val="005F1654"/>
    <w:rsid w:val="005F2DE7"/>
    <w:rsid w:val="005F5A5D"/>
    <w:rsid w:val="005F685B"/>
    <w:rsid w:val="006026CF"/>
    <w:rsid w:val="00602D1E"/>
    <w:rsid w:val="00603409"/>
    <w:rsid w:val="00603BE7"/>
    <w:rsid w:val="00604BA1"/>
    <w:rsid w:val="0061084D"/>
    <w:rsid w:val="00610EF8"/>
    <w:rsid w:val="006112F4"/>
    <w:rsid w:val="006113C4"/>
    <w:rsid w:val="006121E8"/>
    <w:rsid w:val="00612E49"/>
    <w:rsid w:val="006132AD"/>
    <w:rsid w:val="00613B92"/>
    <w:rsid w:val="00615311"/>
    <w:rsid w:val="00615BF5"/>
    <w:rsid w:val="00615D04"/>
    <w:rsid w:val="006161D9"/>
    <w:rsid w:val="00616C59"/>
    <w:rsid w:val="0061705F"/>
    <w:rsid w:val="00617458"/>
    <w:rsid w:val="00620816"/>
    <w:rsid w:val="0062242B"/>
    <w:rsid w:val="00622850"/>
    <w:rsid w:val="00622947"/>
    <w:rsid w:val="00622E65"/>
    <w:rsid w:val="00625C70"/>
    <w:rsid w:val="006300FE"/>
    <w:rsid w:val="00630A0D"/>
    <w:rsid w:val="00630FCB"/>
    <w:rsid w:val="006311C1"/>
    <w:rsid w:val="006314E7"/>
    <w:rsid w:val="006348E8"/>
    <w:rsid w:val="00634EAB"/>
    <w:rsid w:val="00635A1C"/>
    <w:rsid w:val="006374AC"/>
    <w:rsid w:val="00637E90"/>
    <w:rsid w:val="006400B8"/>
    <w:rsid w:val="0064084E"/>
    <w:rsid w:val="0064100B"/>
    <w:rsid w:val="00641617"/>
    <w:rsid w:val="00644B78"/>
    <w:rsid w:val="006458A5"/>
    <w:rsid w:val="00650AFE"/>
    <w:rsid w:val="00650D18"/>
    <w:rsid w:val="006521F8"/>
    <w:rsid w:val="00652FC6"/>
    <w:rsid w:val="00653098"/>
    <w:rsid w:val="00653610"/>
    <w:rsid w:val="00653FDB"/>
    <w:rsid w:val="00654697"/>
    <w:rsid w:val="006563E8"/>
    <w:rsid w:val="00656808"/>
    <w:rsid w:val="006618A4"/>
    <w:rsid w:val="00661AF2"/>
    <w:rsid w:val="00664264"/>
    <w:rsid w:val="00664972"/>
    <w:rsid w:val="0066650F"/>
    <w:rsid w:val="0066701D"/>
    <w:rsid w:val="00667EE5"/>
    <w:rsid w:val="00671A70"/>
    <w:rsid w:val="00671AF3"/>
    <w:rsid w:val="0067212B"/>
    <w:rsid w:val="0067545D"/>
    <w:rsid w:val="0067614D"/>
    <w:rsid w:val="00682244"/>
    <w:rsid w:val="00683D39"/>
    <w:rsid w:val="00685091"/>
    <w:rsid w:val="00685494"/>
    <w:rsid w:val="00686558"/>
    <w:rsid w:val="006878B2"/>
    <w:rsid w:val="00690344"/>
    <w:rsid w:val="00691F18"/>
    <w:rsid w:val="00694E03"/>
    <w:rsid w:val="00695045"/>
    <w:rsid w:val="00697232"/>
    <w:rsid w:val="006A006E"/>
    <w:rsid w:val="006A1140"/>
    <w:rsid w:val="006A1963"/>
    <w:rsid w:val="006A1BFE"/>
    <w:rsid w:val="006A1C07"/>
    <w:rsid w:val="006A2D7B"/>
    <w:rsid w:val="006B2E86"/>
    <w:rsid w:val="006B3E20"/>
    <w:rsid w:val="006B40FC"/>
    <w:rsid w:val="006B6AC9"/>
    <w:rsid w:val="006C05C9"/>
    <w:rsid w:val="006C1DA5"/>
    <w:rsid w:val="006C4274"/>
    <w:rsid w:val="006C493F"/>
    <w:rsid w:val="006C5562"/>
    <w:rsid w:val="006C58E3"/>
    <w:rsid w:val="006C5D13"/>
    <w:rsid w:val="006D2329"/>
    <w:rsid w:val="006D5CD2"/>
    <w:rsid w:val="006D7A17"/>
    <w:rsid w:val="006D7E73"/>
    <w:rsid w:val="006E0701"/>
    <w:rsid w:val="006E0BBC"/>
    <w:rsid w:val="006E3D94"/>
    <w:rsid w:val="006E46A6"/>
    <w:rsid w:val="006E4B94"/>
    <w:rsid w:val="006E590A"/>
    <w:rsid w:val="006F0427"/>
    <w:rsid w:val="006F0F3D"/>
    <w:rsid w:val="006F1361"/>
    <w:rsid w:val="006F3AD8"/>
    <w:rsid w:val="006F4300"/>
    <w:rsid w:val="006F587B"/>
    <w:rsid w:val="006F5AF8"/>
    <w:rsid w:val="007018E0"/>
    <w:rsid w:val="00703B52"/>
    <w:rsid w:val="00704424"/>
    <w:rsid w:val="0070513B"/>
    <w:rsid w:val="007066EF"/>
    <w:rsid w:val="00711DE0"/>
    <w:rsid w:val="00711EF5"/>
    <w:rsid w:val="0071287E"/>
    <w:rsid w:val="00712B1D"/>
    <w:rsid w:val="00712D4F"/>
    <w:rsid w:val="007139DC"/>
    <w:rsid w:val="00713E6D"/>
    <w:rsid w:val="0071432B"/>
    <w:rsid w:val="00714908"/>
    <w:rsid w:val="00715BDB"/>
    <w:rsid w:val="0071673F"/>
    <w:rsid w:val="00717118"/>
    <w:rsid w:val="00717CC2"/>
    <w:rsid w:val="007204B8"/>
    <w:rsid w:val="00720C60"/>
    <w:rsid w:val="00721165"/>
    <w:rsid w:val="00722DAF"/>
    <w:rsid w:val="00723E3C"/>
    <w:rsid w:val="00723FDB"/>
    <w:rsid w:val="00724EB0"/>
    <w:rsid w:val="00725266"/>
    <w:rsid w:val="007319BC"/>
    <w:rsid w:val="00731B0C"/>
    <w:rsid w:val="0073275B"/>
    <w:rsid w:val="00732EB2"/>
    <w:rsid w:val="007333BD"/>
    <w:rsid w:val="007342B4"/>
    <w:rsid w:val="007351A8"/>
    <w:rsid w:val="007366E3"/>
    <w:rsid w:val="00736A23"/>
    <w:rsid w:val="0073749D"/>
    <w:rsid w:val="007405FD"/>
    <w:rsid w:val="007409BC"/>
    <w:rsid w:val="00744E04"/>
    <w:rsid w:val="00745300"/>
    <w:rsid w:val="00747ED9"/>
    <w:rsid w:val="0075583B"/>
    <w:rsid w:val="00756483"/>
    <w:rsid w:val="007579C4"/>
    <w:rsid w:val="007612C5"/>
    <w:rsid w:val="00764EBC"/>
    <w:rsid w:val="00764F8A"/>
    <w:rsid w:val="00766003"/>
    <w:rsid w:val="0076618E"/>
    <w:rsid w:val="0077090E"/>
    <w:rsid w:val="00771B04"/>
    <w:rsid w:val="0077239D"/>
    <w:rsid w:val="00775B7F"/>
    <w:rsid w:val="00776E53"/>
    <w:rsid w:val="00780476"/>
    <w:rsid w:val="007817B0"/>
    <w:rsid w:val="007843CC"/>
    <w:rsid w:val="00786894"/>
    <w:rsid w:val="007871CB"/>
    <w:rsid w:val="00787A30"/>
    <w:rsid w:val="00787BDB"/>
    <w:rsid w:val="007908CF"/>
    <w:rsid w:val="007941F3"/>
    <w:rsid w:val="007942FE"/>
    <w:rsid w:val="00795CC3"/>
    <w:rsid w:val="007971F4"/>
    <w:rsid w:val="007977C0"/>
    <w:rsid w:val="00797F40"/>
    <w:rsid w:val="007A0352"/>
    <w:rsid w:val="007A0A0A"/>
    <w:rsid w:val="007A0B0A"/>
    <w:rsid w:val="007A26FE"/>
    <w:rsid w:val="007A4B81"/>
    <w:rsid w:val="007B0D38"/>
    <w:rsid w:val="007B135B"/>
    <w:rsid w:val="007B1F5A"/>
    <w:rsid w:val="007B2364"/>
    <w:rsid w:val="007B2503"/>
    <w:rsid w:val="007B48EF"/>
    <w:rsid w:val="007B5FF1"/>
    <w:rsid w:val="007B6D7F"/>
    <w:rsid w:val="007C076E"/>
    <w:rsid w:val="007C1225"/>
    <w:rsid w:val="007C1F3E"/>
    <w:rsid w:val="007C4352"/>
    <w:rsid w:val="007C5662"/>
    <w:rsid w:val="007C5DCD"/>
    <w:rsid w:val="007C5E48"/>
    <w:rsid w:val="007C739F"/>
    <w:rsid w:val="007D10CC"/>
    <w:rsid w:val="007D2BC7"/>
    <w:rsid w:val="007D4FF5"/>
    <w:rsid w:val="007D522F"/>
    <w:rsid w:val="007D71EF"/>
    <w:rsid w:val="007E04EC"/>
    <w:rsid w:val="007E2E07"/>
    <w:rsid w:val="007E3E4A"/>
    <w:rsid w:val="007E5662"/>
    <w:rsid w:val="007E6930"/>
    <w:rsid w:val="007E7C42"/>
    <w:rsid w:val="007F036B"/>
    <w:rsid w:val="007F08C8"/>
    <w:rsid w:val="007F0A7B"/>
    <w:rsid w:val="007F1BFA"/>
    <w:rsid w:val="007F2BA9"/>
    <w:rsid w:val="007F3B4D"/>
    <w:rsid w:val="007F45F7"/>
    <w:rsid w:val="007F499A"/>
    <w:rsid w:val="007F6901"/>
    <w:rsid w:val="007F6C87"/>
    <w:rsid w:val="007F7183"/>
    <w:rsid w:val="007F7ACA"/>
    <w:rsid w:val="0080123E"/>
    <w:rsid w:val="00802C0F"/>
    <w:rsid w:val="00802D7F"/>
    <w:rsid w:val="00802D8E"/>
    <w:rsid w:val="00802DFB"/>
    <w:rsid w:val="008038B6"/>
    <w:rsid w:val="00803CDD"/>
    <w:rsid w:val="00806FDF"/>
    <w:rsid w:val="008072F1"/>
    <w:rsid w:val="0081095F"/>
    <w:rsid w:val="00811DDE"/>
    <w:rsid w:val="00812DFF"/>
    <w:rsid w:val="008139CB"/>
    <w:rsid w:val="00814B94"/>
    <w:rsid w:val="00817834"/>
    <w:rsid w:val="008202DD"/>
    <w:rsid w:val="00820ADB"/>
    <w:rsid w:val="0082101D"/>
    <w:rsid w:val="00821FC3"/>
    <w:rsid w:val="0082278F"/>
    <w:rsid w:val="0082306E"/>
    <w:rsid w:val="00826F5F"/>
    <w:rsid w:val="00827875"/>
    <w:rsid w:val="00830778"/>
    <w:rsid w:val="00830C04"/>
    <w:rsid w:val="008312CF"/>
    <w:rsid w:val="008316A6"/>
    <w:rsid w:val="00832018"/>
    <w:rsid w:val="0083298C"/>
    <w:rsid w:val="00835688"/>
    <w:rsid w:val="008358DD"/>
    <w:rsid w:val="00835CCE"/>
    <w:rsid w:val="00835F29"/>
    <w:rsid w:val="00836117"/>
    <w:rsid w:val="008362AC"/>
    <w:rsid w:val="00836757"/>
    <w:rsid w:val="00836849"/>
    <w:rsid w:val="00836EE7"/>
    <w:rsid w:val="00840C5F"/>
    <w:rsid w:val="00841C77"/>
    <w:rsid w:val="00841EC0"/>
    <w:rsid w:val="00842313"/>
    <w:rsid w:val="00842B44"/>
    <w:rsid w:val="00842EE4"/>
    <w:rsid w:val="0084316E"/>
    <w:rsid w:val="00844475"/>
    <w:rsid w:val="00847193"/>
    <w:rsid w:val="008475BB"/>
    <w:rsid w:val="008512FD"/>
    <w:rsid w:val="0085318F"/>
    <w:rsid w:val="00854924"/>
    <w:rsid w:val="00861B32"/>
    <w:rsid w:val="0086407F"/>
    <w:rsid w:val="00866493"/>
    <w:rsid w:val="00866CD2"/>
    <w:rsid w:val="00866F92"/>
    <w:rsid w:val="008702AF"/>
    <w:rsid w:val="008709C5"/>
    <w:rsid w:val="00871C4E"/>
    <w:rsid w:val="0087460E"/>
    <w:rsid w:val="00875436"/>
    <w:rsid w:val="00876801"/>
    <w:rsid w:val="00877B2C"/>
    <w:rsid w:val="00883792"/>
    <w:rsid w:val="00883CAB"/>
    <w:rsid w:val="00883D58"/>
    <w:rsid w:val="00884D15"/>
    <w:rsid w:val="00887482"/>
    <w:rsid w:val="008878BF"/>
    <w:rsid w:val="00887D3D"/>
    <w:rsid w:val="008902B4"/>
    <w:rsid w:val="00891BD1"/>
    <w:rsid w:val="00891C84"/>
    <w:rsid w:val="00893167"/>
    <w:rsid w:val="00893DD3"/>
    <w:rsid w:val="008940C9"/>
    <w:rsid w:val="00894AC3"/>
    <w:rsid w:val="008969B3"/>
    <w:rsid w:val="00896A26"/>
    <w:rsid w:val="00897883"/>
    <w:rsid w:val="008A0A90"/>
    <w:rsid w:val="008A0E5F"/>
    <w:rsid w:val="008A2172"/>
    <w:rsid w:val="008A4DB6"/>
    <w:rsid w:val="008A52D5"/>
    <w:rsid w:val="008A785D"/>
    <w:rsid w:val="008B0BEF"/>
    <w:rsid w:val="008B0DD5"/>
    <w:rsid w:val="008B1684"/>
    <w:rsid w:val="008B26A3"/>
    <w:rsid w:val="008B3367"/>
    <w:rsid w:val="008B3F54"/>
    <w:rsid w:val="008B635B"/>
    <w:rsid w:val="008B7B95"/>
    <w:rsid w:val="008C0491"/>
    <w:rsid w:val="008C19FB"/>
    <w:rsid w:val="008C32FF"/>
    <w:rsid w:val="008C4E8E"/>
    <w:rsid w:val="008D06E5"/>
    <w:rsid w:val="008D606D"/>
    <w:rsid w:val="008D766C"/>
    <w:rsid w:val="008E19F8"/>
    <w:rsid w:val="008E27E0"/>
    <w:rsid w:val="008E3426"/>
    <w:rsid w:val="008E48A2"/>
    <w:rsid w:val="008E494F"/>
    <w:rsid w:val="008E500C"/>
    <w:rsid w:val="008E56C1"/>
    <w:rsid w:val="008E794B"/>
    <w:rsid w:val="008F0666"/>
    <w:rsid w:val="008F08B5"/>
    <w:rsid w:val="008F0994"/>
    <w:rsid w:val="008F3454"/>
    <w:rsid w:val="008F36E4"/>
    <w:rsid w:val="008F37CC"/>
    <w:rsid w:val="008F493B"/>
    <w:rsid w:val="008F5442"/>
    <w:rsid w:val="008F5A6A"/>
    <w:rsid w:val="008F5A90"/>
    <w:rsid w:val="008F6D85"/>
    <w:rsid w:val="008F6FF7"/>
    <w:rsid w:val="008F793F"/>
    <w:rsid w:val="0090135B"/>
    <w:rsid w:val="00901489"/>
    <w:rsid w:val="00904313"/>
    <w:rsid w:val="00904EDE"/>
    <w:rsid w:val="00905F2B"/>
    <w:rsid w:val="00906D3A"/>
    <w:rsid w:val="009116D2"/>
    <w:rsid w:val="0091511A"/>
    <w:rsid w:val="00915FC8"/>
    <w:rsid w:val="0091640E"/>
    <w:rsid w:val="00916C66"/>
    <w:rsid w:val="00920773"/>
    <w:rsid w:val="009212D2"/>
    <w:rsid w:val="00921475"/>
    <w:rsid w:val="00921D8A"/>
    <w:rsid w:val="00926287"/>
    <w:rsid w:val="00931C5F"/>
    <w:rsid w:val="00935688"/>
    <w:rsid w:val="00936CCB"/>
    <w:rsid w:val="009375A5"/>
    <w:rsid w:val="00940326"/>
    <w:rsid w:val="00940532"/>
    <w:rsid w:val="00940DA8"/>
    <w:rsid w:val="00942B50"/>
    <w:rsid w:val="0094391D"/>
    <w:rsid w:val="0094495C"/>
    <w:rsid w:val="00944E8B"/>
    <w:rsid w:val="00945620"/>
    <w:rsid w:val="00945BB8"/>
    <w:rsid w:val="00946F0F"/>
    <w:rsid w:val="00952C5F"/>
    <w:rsid w:val="00953521"/>
    <w:rsid w:val="009556C2"/>
    <w:rsid w:val="00955B09"/>
    <w:rsid w:val="00956153"/>
    <w:rsid w:val="00957B01"/>
    <w:rsid w:val="00960C6B"/>
    <w:rsid w:val="00962011"/>
    <w:rsid w:val="00963C8D"/>
    <w:rsid w:val="00964A43"/>
    <w:rsid w:val="0096552E"/>
    <w:rsid w:val="00965C2F"/>
    <w:rsid w:val="00970267"/>
    <w:rsid w:val="00972B48"/>
    <w:rsid w:val="00973792"/>
    <w:rsid w:val="009741FD"/>
    <w:rsid w:val="009758DF"/>
    <w:rsid w:val="0097764C"/>
    <w:rsid w:val="0098276A"/>
    <w:rsid w:val="00985AB1"/>
    <w:rsid w:val="00986038"/>
    <w:rsid w:val="00986BA2"/>
    <w:rsid w:val="0098791C"/>
    <w:rsid w:val="00987EE4"/>
    <w:rsid w:val="00991F9E"/>
    <w:rsid w:val="0099303E"/>
    <w:rsid w:val="00993141"/>
    <w:rsid w:val="00993D45"/>
    <w:rsid w:val="0099461E"/>
    <w:rsid w:val="009A20C9"/>
    <w:rsid w:val="009A322B"/>
    <w:rsid w:val="009A4A4D"/>
    <w:rsid w:val="009A61E4"/>
    <w:rsid w:val="009A6613"/>
    <w:rsid w:val="009B3498"/>
    <w:rsid w:val="009B3FEF"/>
    <w:rsid w:val="009B4E82"/>
    <w:rsid w:val="009B5839"/>
    <w:rsid w:val="009B5A41"/>
    <w:rsid w:val="009C4795"/>
    <w:rsid w:val="009C4C54"/>
    <w:rsid w:val="009C5013"/>
    <w:rsid w:val="009C5A6D"/>
    <w:rsid w:val="009C6728"/>
    <w:rsid w:val="009C6D5C"/>
    <w:rsid w:val="009D051F"/>
    <w:rsid w:val="009D322A"/>
    <w:rsid w:val="009D4CB3"/>
    <w:rsid w:val="009D56BF"/>
    <w:rsid w:val="009D684F"/>
    <w:rsid w:val="009D6BAB"/>
    <w:rsid w:val="009D6E99"/>
    <w:rsid w:val="009D740A"/>
    <w:rsid w:val="009E044D"/>
    <w:rsid w:val="009E2056"/>
    <w:rsid w:val="009E27A3"/>
    <w:rsid w:val="009E4C18"/>
    <w:rsid w:val="009E4CB3"/>
    <w:rsid w:val="009E66A6"/>
    <w:rsid w:val="009E6A36"/>
    <w:rsid w:val="009E77E3"/>
    <w:rsid w:val="009E7CA7"/>
    <w:rsid w:val="009E7FEE"/>
    <w:rsid w:val="009F0738"/>
    <w:rsid w:val="009F15FB"/>
    <w:rsid w:val="009F32BB"/>
    <w:rsid w:val="009F3AB5"/>
    <w:rsid w:val="009F3C73"/>
    <w:rsid w:val="009F67EF"/>
    <w:rsid w:val="009F7101"/>
    <w:rsid w:val="009F77C5"/>
    <w:rsid w:val="00A00775"/>
    <w:rsid w:val="00A01E1B"/>
    <w:rsid w:val="00A03B92"/>
    <w:rsid w:val="00A04220"/>
    <w:rsid w:val="00A04AFC"/>
    <w:rsid w:val="00A065C0"/>
    <w:rsid w:val="00A06928"/>
    <w:rsid w:val="00A078C1"/>
    <w:rsid w:val="00A07C40"/>
    <w:rsid w:val="00A1009B"/>
    <w:rsid w:val="00A11097"/>
    <w:rsid w:val="00A126DA"/>
    <w:rsid w:val="00A155C9"/>
    <w:rsid w:val="00A16AD3"/>
    <w:rsid w:val="00A17CB5"/>
    <w:rsid w:val="00A20D27"/>
    <w:rsid w:val="00A22A8C"/>
    <w:rsid w:val="00A231BB"/>
    <w:rsid w:val="00A2555F"/>
    <w:rsid w:val="00A2779B"/>
    <w:rsid w:val="00A27AD8"/>
    <w:rsid w:val="00A3287C"/>
    <w:rsid w:val="00A33750"/>
    <w:rsid w:val="00A33EA9"/>
    <w:rsid w:val="00A344B8"/>
    <w:rsid w:val="00A35823"/>
    <w:rsid w:val="00A36A6F"/>
    <w:rsid w:val="00A37000"/>
    <w:rsid w:val="00A37213"/>
    <w:rsid w:val="00A375C4"/>
    <w:rsid w:val="00A40030"/>
    <w:rsid w:val="00A40DD6"/>
    <w:rsid w:val="00A42982"/>
    <w:rsid w:val="00A462BA"/>
    <w:rsid w:val="00A4772B"/>
    <w:rsid w:val="00A50603"/>
    <w:rsid w:val="00A53357"/>
    <w:rsid w:val="00A53F12"/>
    <w:rsid w:val="00A60816"/>
    <w:rsid w:val="00A6104E"/>
    <w:rsid w:val="00A61A0B"/>
    <w:rsid w:val="00A630DC"/>
    <w:rsid w:val="00A63BC8"/>
    <w:rsid w:val="00A641AD"/>
    <w:rsid w:val="00A64468"/>
    <w:rsid w:val="00A646FA"/>
    <w:rsid w:val="00A650CD"/>
    <w:rsid w:val="00A666F3"/>
    <w:rsid w:val="00A70925"/>
    <w:rsid w:val="00A70C0E"/>
    <w:rsid w:val="00A717F3"/>
    <w:rsid w:val="00A7372D"/>
    <w:rsid w:val="00A75A64"/>
    <w:rsid w:val="00A75C45"/>
    <w:rsid w:val="00A80502"/>
    <w:rsid w:val="00A809D6"/>
    <w:rsid w:val="00A82FC7"/>
    <w:rsid w:val="00A837E5"/>
    <w:rsid w:val="00A83E43"/>
    <w:rsid w:val="00A875D3"/>
    <w:rsid w:val="00A8761C"/>
    <w:rsid w:val="00A87796"/>
    <w:rsid w:val="00A9042E"/>
    <w:rsid w:val="00A905BD"/>
    <w:rsid w:val="00A9124E"/>
    <w:rsid w:val="00A9280B"/>
    <w:rsid w:val="00A92E59"/>
    <w:rsid w:val="00A9314A"/>
    <w:rsid w:val="00A93B0D"/>
    <w:rsid w:val="00A93B43"/>
    <w:rsid w:val="00A94B65"/>
    <w:rsid w:val="00A96402"/>
    <w:rsid w:val="00A96711"/>
    <w:rsid w:val="00A971BB"/>
    <w:rsid w:val="00A97B00"/>
    <w:rsid w:val="00AA26F7"/>
    <w:rsid w:val="00AA68A6"/>
    <w:rsid w:val="00AA7C6A"/>
    <w:rsid w:val="00AB06F8"/>
    <w:rsid w:val="00AB18E8"/>
    <w:rsid w:val="00AB2707"/>
    <w:rsid w:val="00AB2E0E"/>
    <w:rsid w:val="00AB370B"/>
    <w:rsid w:val="00AB3797"/>
    <w:rsid w:val="00AB3A5B"/>
    <w:rsid w:val="00AC108D"/>
    <w:rsid w:val="00AC26F9"/>
    <w:rsid w:val="00AC3677"/>
    <w:rsid w:val="00AC43F2"/>
    <w:rsid w:val="00AD1E45"/>
    <w:rsid w:val="00AD36DE"/>
    <w:rsid w:val="00AD4EA1"/>
    <w:rsid w:val="00AD6EA9"/>
    <w:rsid w:val="00AD77B6"/>
    <w:rsid w:val="00AE058A"/>
    <w:rsid w:val="00AE2126"/>
    <w:rsid w:val="00AE3AA5"/>
    <w:rsid w:val="00AE4001"/>
    <w:rsid w:val="00AE409E"/>
    <w:rsid w:val="00AF0D79"/>
    <w:rsid w:val="00AF13A2"/>
    <w:rsid w:val="00AF4125"/>
    <w:rsid w:val="00AF4DF4"/>
    <w:rsid w:val="00AF6F48"/>
    <w:rsid w:val="00AF76C2"/>
    <w:rsid w:val="00B0388A"/>
    <w:rsid w:val="00B03A75"/>
    <w:rsid w:val="00B0470B"/>
    <w:rsid w:val="00B068AC"/>
    <w:rsid w:val="00B10A8E"/>
    <w:rsid w:val="00B13B01"/>
    <w:rsid w:val="00B14D14"/>
    <w:rsid w:val="00B15E82"/>
    <w:rsid w:val="00B21B44"/>
    <w:rsid w:val="00B2249D"/>
    <w:rsid w:val="00B2292A"/>
    <w:rsid w:val="00B22EB0"/>
    <w:rsid w:val="00B236B5"/>
    <w:rsid w:val="00B24906"/>
    <w:rsid w:val="00B27445"/>
    <w:rsid w:val="00B27508"/>
    <w:rsid w:val="00B3021C"/>
    <w:rsid w:val="00B32AA1"/>
    <w:rsid w:val="00B3484F"/>
    <w:rsid w:val="00B34C96"/>
    <w:rsid w:val="00B3633C"/>
    <w:rsid w:val="00B370C4"/>
    <w:rsid w:val="00B41539"/>
    <w:rsid w:val="00B4224D"/>
    <w:rsid w:val="00B46BF6"/>
    <w:rsid w:val="00B50370"/>
    <w:rsid w:val="00B50F78"/>
    <w:rsid w:val="00B51AD3"/>
    <w:rsid w:val="00B527A5"/>
    <w:rsid w:val="00B54DD7"/>
    <w:rsid w:val="00B563FC"/>
    <w:rsid w:val="00B56F28"/>
    <w:rsid w:val="00B577AE"/>
    <w:rsid w:val="00B60BF1"/>
    <w:rsid w:val="00B645D8"/>
    <w:rsid w:val="00B67CB7"/>
    <w:rsid w:val="00B72DFA"/>
    <w:rsid w:val="00B73A1F"/>
    <w:rsid w:val="00B7447A"/>
    <w:rsid w:val="00B749D5"/>
    <w:rsid w:val="00B74F98"/>
    <w:rsid w:val="00B75114"/>
    <w:rsid w:val="00B76273"/>
    <w:rsid w:val="00B76F25"/>
    <w:rsid w:val="00B80093"/>
    <w:rsid w:val="00B80E04"/>
    <w:rsid w:val="00B81F93"/>
    <w:rsid w:val="00B8213A"/>
    <w:rsid w:val="00B83A8E"/>
    <w:rsid w:val="00B8530C"/>
    <w:rsid w:val="00B864D8"/>
    <w:rsid w:val="00B8658A"/>
    <w:rsid w:val="00B87BC1"/>
    <w:rsid w:val="00B900C9"/>
    <w:rsid w:val="00B92E5B"/>
    <w:rsid w:val="00B957AA"/>
    <w:rsid w:val="00B9618F"/>
    <w:rsid w:val="00B971EE"/>
    <w:rsid w:val="00B9765D"/>
    <w:rsid w:val="00B97D2E"/>
    <w:rsid w:val="00BA070B"/>
    <w:rsid w:val="00BA09A2"/>
    <w:rsid w:val="00BA1A66"/>
    <w:rsid w:val="00BA2134"/>
    <w:rsid w:val="00BA31A0"/>
    <w:rsid w:val="00BA4117"/>
    <w:rsid w:val="00BA4743"/>
    <w:rsid w:val="00BA56F1"/>
    <w:rsid w:val="00BA6C13"/>
    <w:rsid w:val="00BA7367"/>
    <w:rsid w:val="00BA7A23"/>
    <w:rsid w:val="00BB01FB"/>
    <w:rsid w:val="00BB2BF8"/>
    <w:rsid w:val="00BB3DA9"/>
    <w:rsid w:val="00BB49E2"/>
    <w:rsid w:val="00BB502A"/>
    <w:rsid w:val="00BB5707"/>
    <w:rsid w:val="00BB6434"/>
    <w:rsid w:val="00BB6C0C"/>
    <w:rsid w:val="00BC0932"/>
    <w:rsid w:val="00BC4A0A"/>
    <w:rsid w:val="00BC4FAF"/>
    <w:rsid w:val="00BC5BB8"/>
    <w:rsid w:val="00BC6BFF"/>
    <w:rsid w:val="00BD0549"/>
    <w:rsid w:val="00BD091F"/>
    <w:rsid w:val="00BD213F"/>
    <w:rsid w:val="00BD2DA0"/>
    <w:rsid w:val="00BD3164"/>
    <w:rsid w:val="00BD3DB7"/>
    <w:rsid w:val="00BD400F"/>
    <w:rsid w:val="00BD451D"/>
    <w:rsid w:val="00BD4A74"/>
    <w:rsid w:val="00BD50FE"/>
    <w:rsid w:val="00BD6B82"/>
    <w:rsid w:val="00BD77E5"/>
    <w:rsid w:val="00BE3909"/>
    <w:rsid w:val="00BE3B9A"/>
    <w:rsid w:val="00BE59AF"/>
    <w:rsid w:val="00BE710D"/>
    <w:rsid w:val="00BF0995"/>
    <w:rsid w:val="00BF1125"/>
    <w:rsid w:val="00BF2C92"/>
    <w:rsid w:val="00BF620F"/>
    <w:rsid w:val="00C021BD"/>
    <w:rsid w:val="00C02FE4"/>
    <w:rsid w:val="00C03AFD"/>
    <w:rsid w:val="00C043F5"/>
    <w:rsid w:val="00C04E68"/>
    <w:rsid w:val="00C05C46"/>
    <w:rsid w:val="00C05F9D"/>
    <w:rsid w:val="00C05FB7"/>
    <w:rsid w:val="00C06F3D"/>
    <w:rsid w:val="00C06F4C"/>
    <w:rsid w:val="00C070A0"/>
    <w:rsid w:val="00C07F42"/>
    <w:rsid w:val="00C1013E"/>
    <w:rsid w:val="00C1144F"/>
    <w:rsid w:val="00C11AC8"/>
    <w:rsid w:val="00C12AA3"/>
    <w:rsid w:val="00C12B47"/>
    <w:rsid w:val="00C13460"/>
    <w:rsid w:val="00C146CA"/>
    <w:rsid w:val="00C1537E"/>
    <w:rsid w:val="00C2063C"/>
    <w:rsid w:val="00C21631"/>
    <w:rsid w:val="00C21868"/>
    <w:rsid w:val="00C24C10"/>
    <w:rsid w:val="00C26C27"/>
    <w:rsid w:val="00C27818"/>
    <w:rsid w:val="00C2787D"/>
    <w:rsid w:val="00C27D82"/>
    <w:rsid w:val="00C30F00"/>
    <w:rsid w:val="00C34357"/>
    <w:rsid w:val="00C3500A"/>
    <w:rsid w:val="00C35E3C"/>
    <w:rsid w:val="00C36D80"/>
    <w:rsid w:val="00C37746"/>
    <w:rsid w:val="00C3780F"/>
    <w:rsid w:val="00C40020"/>
    <w:rsid w:val="00C40FD9"/>
    <w:rsid w:val="00C429B5"/>
    <w:rsid w:val="00C43C88"/>
    <w:rsid w:val="00C447BB"/>
    <w:rsid w:val="00C472AB"/>
    <w:rsid w:val="00C476E5"/>
    <w:rsid w:val="00C50426"/>
    <w:rsid w:val="00C52157"/>
    <w:rsid w:val="00C53B9E"/>
    <w:rsid w:val="00C601F7"/>
    <w:rsid w:val="00C6021E"/>
    <w:rsid w:val="00C605EB"/>
    <w:rsid w:val="00C60681"/>
    <w:rsid w:val="00C61002"/>
    <w:rsid w:val="00C63FDA"/>
    <w:rsid w:val="00C64223"/>
    <w:rsid w:val="00C70436"/>
    <w:rsid w:val="00C7276B"/>
    <w:rsid w:val="00C7330B"/>
    <w:rsid w:val="00C73DF5"/>
    <w:rsid w:val="00C80416"/>
    <w:rsid w:val="00C83413"/>
    <w:rsid w:val="00C83F9A"/>
    <w:rsid w:val="00C85014"/>
    <w:rsid w:val="00C862FD"/>
    <w:rsid w:val="00C8755B"/>
    <w:rsid w:val="00C91868"/>
    <w:rsid w:val="00C9338C"/>
    <w:rsid w:val="00C95129"/>
    <w:rsid w:val="00C95279"/>
    <w:rsid w:val="00CA04C7"/>
    <w:rsid w:val="00CA3B28"/>
    <w:rsid w:val="00CA4E77"/>
    <w:rsid w:val="00CA5122"/>
    <w:rsid w:val="00CA590B"/>
    <w:rsid w:val="00CA5EDB"/>
    <w:rsid w:val="00CA628A"/>
    <w:rsid w:val="00CA6F1B"/>
    <w:rsid w:val="00CB163E"/>
    <w:rsid w:val="00CB1B61"/>
    <w:rsid w:val="00CB21DE"/>
    <w:rsid w:val="00CB3A83"/>
    <w:rsid w:val="00CB438F"/>
    <w:rsid w:val="00CC3A60"/>
    <w:rsid w:val="00CC3C5F"/>
    <w:rsid w:val="00CC42F6"/>
    <w:rsid w:val="00CC4F4C"/>
    <w:rsid w:val="00CD13B0"/>
    <w:rsid w:val="00CD1BAB"/>
    <w:rsid w:val="00CD23D1"/>
    <w:rsid w:val="00CD2B16"/>
    <w:rsid w:val="00CD2C8F"/>
    <w:rsid w:val="00CD2CFF"/>
    <w:rsid w:val="00CD2E74"/>
    <w:rsid w:val="00CD48A2"/>
    <w:rsid w:val="00CD5545"/>
    <w:rsid w:val="00CD5E97"/>
    <w:rsid w:val="00CD6CE4"/>
    <w:rsid w:val="00CE144B"/>
    <w:rsid w:val="00CE16E2"/>
    <w:rsid w:val="00CE180E"/>
    <w:rsid w:val="00CE1C3F"/>
    <w:rsid w:val="00CE48F2"/>
    <w:rsid w:val="00CE4A3C"/>
    <w:rsid w:val="00CE4B94"/>
    <w:rsid w:val="00CE74A4"/>
    <w:rsid w:val="00CF042A"/>
    <w:rsid w:val="00CF0C55"/>
    <w:rsid w:val="00CF0C9B"/>
    <w:rsid w:val="00CF1612"/>
    <w:rsid w:val="00CF4143"/>
    <w:rsid w:val="00CF42EA"/>
    <w:rsid w:val="00CF479D"/>
    <w:rsid w:val="00CF56BD"/>
    <w:rsid w:val="00CF7488"/>
    <w:rsid w:val="00CF7664"/>
    <w:rsid w:val="00D0259E"/>
    <w:rsid w:val="00D02B01"/>
    <w:rsid w:val="00D03703"/>
    <w:rsid w:val="00D04505"/>
    <w:rsid w:val="00D104DA"/>
    <w:rsid w:val="00D1312F"/>
    <w:rsid w:val="00D135A9"/>
    <w:rsid w:val="00D13BBB"/>
    <w:rsid w:val="00D14593"/>
    <w:rsid w:val="00D14628"/>
    <w:rsid w:val="00D151AD"/>
    <w:rsid w:val="00D165CB"/>
    <w:rsid w:val="00D17B2E"/>
    <w:rsid w:val="00D224EE"/>
    <w:rsid w:val="00D237C4"/>
    <w:rsid w:val="00D237F8"/>
    <w:rsid w:val="00D23806"/>
    <w:rsid w:val="00D26C62"/>
    <w:rsid w:val="00D31A46"/>
    <w:rsid w:val="00D34740"/>
    <w:rsid w:val="00D35617"/>
    <w:rsid w:val="00D35C3A"/>
    <w:rsid w:val="00D36B66"/>
    <w:rsid w:val="00D370DD"/>
    <w:rsid w:val="00D377D3"/>
    <w:rsid w:val="00D402D6"/>
    <w:rsid w:val="00D41C69"/>
    <w:rsid w:val="00D4202B"/>
    <w:rsid w:val="00D44413"/>
    <w:rsid w:val="00D46AD4"/>
    <w:rsid w:val="00D46C34"/>
    <w:rsid w:val="00D50B02"/>
    <w:rsid w:val="00D51C77"/>
    <w:rsid w:val="00D52F42"/>
    <w:rsid w:val="00D57AF4"/>
    <w:rsid w:val="00D6054C"/>
    <w:rsid w:val="00D62132"/>
    <w:rsid w:val="00D6481D"/>
    <w:rsid w:val="00D64BFF"/>
    <w:rsid w:val="00D6600C"/>
    <w:rsid w:val="00D66265"/>
    <w:rsid w:val="00D7090C"/>
    <w:rsid w:val="00D70AA6"/>
    <w:rsid w:val="00D70EDE"/>
    <w:rsid w:val="00D73ED1"/>
    <w:rsid w:val="00D74C02"/>
    <w:rsid w:val="00D8116C"/>
    <w:rsid w:val="00D82BC0"/>
    <w:rsid w:val="00D82EFA"/>
    <w:rsid w:val="00D83138"/>
    <w:rsid w:val="00D83A25"/>
    <w:rsid w:val="00D8612F"/>
    <w:rsid w:val="00D869C7"/>
    <w:rsid w:val="00D87932"/>
    <w:rsid w:val="00D90A77"/>
    <w:rsid w:val="00D90D48"/>
    <w:rsid w:val="00D925DC"/>
    <w:rsid w:val="00D92E87"/>
    <w:rsid w:val="00D93427"/>
    <w:rsid w:val="00D9697D"/>
    <w:rsid w:val="00D97DDD"/>
    <w:rsid w:val="00DA130C"/>
    <w:rsid w:val="00DA19D6"/>
    <w:rsid w:val="00DA2C3F"/>
    <w:rsid w:val="00DA4A09"/>
    <w:rsid w:val="00DA51EC"/>
    <w:rsid w:val="00DA689F"/>
    <w:rsid w:val="00DA6CA1"/>
    <w:rsid w:val="00DA7107"/>
    <w:rsid w:val="00DB2714"/>
    <w:rsid w:val="00DB3E7B"/>
    <w:rsid w:val="00DB4892"/>
    <w:rsid w:val="00DB5038"/>
    <w:rsid w:val="00DB7755"/>
    <w:rsid w:val="00DB7C13"/>
    <w:rsid w:val="00DC2C1B"/>
    <w:rsid w:val="00DC4E2C"/>
    <w:rsid w:val="00DC5067"/>
    <w:rsid w:val="00DC5579"/>
    <w:rsid w:val="00DC578F"/>
    <w:rsid w:val="00DC68A1"/>
    <w:rsid w:val="00DC6C5F"/>
    <w:rsid w:val="00DC6FB3"/>
    <w:rsid w:val="00DD0E5A"/>
    <w:rsid w:val="00DD11D4"/>
    <w:rsid w:val="00DD6284"/>
    <w:rsid w:val="00DE02ED"/>
    <w:rsid w:val="00DE3D0F"/>
    <w:rsid w:val="00DE42E3"/>
    <w:rsid w:val="00DE5082"/>
    <w:rsid w:val="00DE7FB6"/>
    <w:rsid w:val="00DF177A"/>
    <w:rsid w:val="00DF2AAF"/>
    <w:rsid w:val="00DF361B"/>
    <w:rsid w:val="00DF3B05"/>
    <w:rsid w:val="00DF649D"/>
    <w:rsid w:val="00DF67D2"/>
    <w:rsid w:val="00DF76E7"/>
    <w:rsid w:val="00E03310"/>
    <w:rsid w:val="00E03A7C"/>
    <w:rsid w:val="00E04A9F"/>
    <w:rsid w:val="00E04F1D"/>
    <w:rsid w:val="00E05C01"/>
    <w:rsid w:val="00E0626E"/>
    <w:rsid w:val="00E075CC"/>
    <w:rsid w:val="00E12419"/>
    <w:rsid w:val="00E1281B"/>
    <w:rsid w:val="00E12AE4"/>
    <w:rsid w:val="00E1389C"/>
    <w:rsid w:val="00E13D67"/>
    <w:rsid w:val="00E17900"/>
    <w:rsid w:val="00E20559"/>
    <w:rsid w:val="00E206C8"/>
    <w:rsid w:val="00E234F6"/>
    <w:rsid w:val="00E27DC2"/>
    <w:rsid w:val="00E3153A"/>
    <w:rsid w:val="00E321B4"/>
    <w:rsid w:val="00E32FB7"/>
    <w:rsid w:val="00E3361F"/>
    <w:rsid w:val="00E3448B"/>
    <w:rsid w:val="00E37688"/>
    <w:rsid w:val="00E40AEE"/>
    <w:rsid w:val="00E424EA"/>
    <w:rsid w:val="00E44813"/>
    <w:rsid w:val="00E4608F"/>
    <w:rsid w:val="00E46885"/>
    <w:rsid w:val="00E50195"/>
    <w:rsid w:val="00E53130"/>
    <w:rsid w:val="00E56C2D"/>
    <w:rsid w:val="00E57272"/>
    <w:rsid w:val="00E60B94"/>
    <w:rsid w:val="00E6352D"/>
    <w:rsid w:val="00E63B5B"/>
    <w:rsid w:val="00E65262"/>
    <w:rsid w:val="00E65ACC"/>
    <w:rsid w:val="00E666BA"/>
    <w:rsid w:val="00E66DC2"/>
    <w:rsid w:val="00E6725F"/>
    <w:rsid w:val="00E67D2F"/>
    <w:rsid w:val="00E71094"/>
    <w:rsid w:val="00E719C6"/>
    <w:rsid w:val="00E7281C"/>
    <w:rsid w:val="00E73142"/>
    <w:rsid w:val="00E73F04"/>
    <w:rsid w:val="00E74768"/>
    <w:rsid w:val="00E75167"/>
    <w:rsid w:val="00E76758"/>
    <w:rsid w:val="00E76C46"/>
    <w:rsid w:val="00E76DC4"/>
    <w:rsid w:val="00E7710C"/>
    <w:rsid w:val="00E859D8"/>
    <w:rsid w:val="00E85BB1"/>
    <w:rsid w:val="00E86C47"/>
    <w:rsid w:val="00E91448"/>
    <w:rsid w:val="00E91485"/>
    <w:rsid w:val="00E91EC7"/>
    <w:rsid w:val="00E92CDB"/>
    <w:rsid w:val="00E94E80"/>
    <w:rsid w:val="00E95154"/>
    <w:rsid w:val="00E95A09"/>
    <w:rsid w:val="00E95B1B"/>
    <w:rsid w:val="00E95D7D"/>
    <w:rsid w:val="00E97AEE"/>
    <w:rsid w:val="00EA0403"/>
    <w:rsid w:val="00EA147D"/>
    <w:rsid w:val="00EA1D38"/>
    <w:rsid w:val="00EA2171"/>
    <w:rsid w:val="00EA36FD"/>
    <w:rsid w:val="00EA3845"/>
    <w:rsid w:val="00EA3E70"/>
    <w:rsid w:val="00EA6121"/>
    <w:rsid w:val="00EB2EDE"/>
    <w:rsid w:val="00EB4178"/>
    <w:rsid w:val="00EB4AD7"/>
    <w:rsid w:val="00EB4ED7"/>
    <w:rsid w:val="00EB7700"/>
    <w:rsid w:val="00EC2267"/>
    <w:rsid w:val="00EC2C84"/>
    <w:rsid w:val="00EC2DDA"/>
    <w:rsid w:val="00EC3A76"/>
    <w:rsid w:val="00EC4C08"/>
    <w:rsid w:val="00EC6856"/>
    <w:rsid w:val="00EC7126"/>
    <w:rsid w:val="00EC7141"/>
    <w:rsid w:val="00EC716B"/>
    <w:rsid w:val="00ED070C"/>
    <w:rsid w:val="00ED1893"/>
    <w:rsid w:val="00ED196A"/>
    <w:rsid w:val="00ED1E3A"/>
    <w:rsid w:val="00ED29BB"/>
    <w:rsid w:val="00ED324E"/>
    <w:rsid w:val="00EE039E"/>
    <w:rsid w:val="00EE077D"/>
    <w:rsid w:val="00EE2E4C"/>
    <w:rsid w:val="00EE3650"/>
    <w:rsid w:val="00EE6088"/>
    <w:rsid w:val="00EE631D"/>
    <w:rsid w:val="00EE69BD"/>
    <w:rsid w:val="00EE6AE2"/>
    <w:rsid w:val="00EE7EF3"/>
    <w:rsid w:val="00EF0C14"/>
    <w:rsid w:val="00EF1DE7"/>
    <w:rsid w:val="00EF276E"/>
    <w:rsid w:val="00EF332C"/>
    <w:rsid w:val="00EF3FB4"/>
    <w:rsid w:val="00EF6CCD"/>
    <w:rsid w:val="00F01600"/>
    <w:rsid w:val="00F01F70"/>
    <w:rsid w:val="00F0434F"/>
    <w:rsid w:val="00F0520A"/>
    <w:rsid w:val="00F05E9C"/>
    <w:rsid w:val="00F06335"/>
    <w:rsid w:val="00F066E5"/>
    <w:rsid w:val="00F06D53"/>
    <w:rsid w:val="00F0732B"/>
    <w:rsid w:val="00F07D0C"/>
    <w:rsid w:val="00F115FA"/>
    <w:rsid w:val="00F13165"/>
    <w:rsid w:val="00F131AA"/>
    <w:rsid w:val="00F13F17"/>
    <w:rsid w:val="00F1552E"/>
    <w:rsid w:val="00F16649"/>
    <w:rsid w:val="00F16FB7"/>
    <w:rsid w:val="00F17A2B"/>
    <w:rsid w:val="00F204A8"/>
    <w:rsid w:val="00F2149A"/>
    <w:rsid w:val="00F2202E"/>
    <w:rsid w:val="00F231D0"/>
    <w:rsid w:val="00F2497B"/>
    <w:rsid w:val="00F253FA"/>
    <w:rsid w:val="00F255CB"/>
    <w:rsid w:val="00F2657A"/>
    <w:rsid w:val="00F26A4E"/>
    <w:rsid w:val="00F33AFA"/>
    <w:rsid w:val="00F36786"/>
    <w:rsid w:val="00F42490"/>
    <w:rsid w:val="00F43CC9"/>
    <w:rsid w:val="00F45A27"/>
    <w:rsid w:val="00F46100"/>
    <w:rsid w:val="00F46CBF"/>
    <w:rsid w:val="00F46EA7"/>
    <w:rsid w:val="00F511FB"/>
    <w:rsid w:val="00F518CB"/>
    <w:rsid w:val="00F6191F"/>
    <w:rsid w:val="00F61B35"/>
    <w:rsid w:val="00F63186"/>
    <w:rsid w:val="00F6332A"/>
    <w:rsid w:val="00F643CC"/>
    <w:rsid w:val="00F65A55"/>
    <w:rsid w:val="00F65FE6"/>
    <w:rsid w:val="00F66CB0"/>
    <w:rsid w:val="00F66CDC"/>
    <w:rsid w:val="00F6704B"/>
    <w:rsid w:val="00F679F9"/>
    <w:rsid w:val="00F67BB0"/>
    <w:rsid w:val="00F67F50"/>
    <w:rsid w:val="00F70236"/>
    <w:rsid w:val="00F72417"/>
    <w:rsid w:val="00F74650"/>
    <w:rsid w:val="00F759AC"/>
    <w:rsid w:val="00F77D52"/>
    <w:rsid w:val="00F80D21"/>
    <w:rsid w:val="00F8135F"/>
    <w:rsid w:val="00F81D1D"/>
    <w:rsid w:val="00F82AD4"/>
    <w:rsid w:val="00F82EC2"/>
    <w:rsid w:val="00F8790E"/>
    <w:rsid w:val="00F90C4C"/>
    <w:rsid w:val="00F91405"/>
    <w:rsid w:val="00F9493A"/>
    <w:rsid w:val="00F949F3"/>
    <w:rsid w:val="00F94D44"/>
    <w:rsid w:val="00F95214"/>
    <w:rsid w:val="00F96A43"/>
    <w:rsid w:val="00F974D3"/>
    <w:rsid w:val="00F97996"/>
    <w:rsid w:val="00FA0D99"/>
    <w:rsid w:val="00FA1875"/>
    <w:rsid w:val="00FA2FFF"/>
    <w:rsid w:val="00FA4B59"/>
    <w:rsid w:val="00FA4D26"/>
    <w:rsid w:val="00FA69C0"/>
    <w:rsid w:val="00FA6B55"/>
    <w:rsid w:val="00FB02FC"/>
    <w:rsid w:val="00FB0DAF"/>
    <w:rsid w:val="00FB2558"/>
    <w:rsid w:val="00FB28C8"/>
    <w:rsid w:val="00FB4076"/>
    <w:rsid w:val="00FB44E8"/>
    <w:rsid w:val="00FB4C0B"/>
    <w:rsid w:val="00FB5646"/>
    <w:rsid w:val="00FB5849"/>
    <w:rsid w:val="00FB5E85"/>
    <w:rsid w:val="00FB746F"/>
    <w:rsid w:val="00FB79FB"/>
    <w:rsid w:val="00FC0020"/>
    <w:rsid w:val="00FC0FD7"/>
    <w:rsid w:val="00FC3FF2"/>
    <w:rsid w:val="00FC4C71"/>
    <w:rsid w:val="00FC4D10"/>
    <w:rsid w:val="00FC5098"/>
    <w:rsid w:val="00FC5788"/>
    <w:rsid w:val="00FC684F"/>
    <w:rsid w:val="00FD022F"/>
    <w:rsid w:val="00FD048E"/>
    <w:rsid w:val="00FD1BE5"/>
    <w:rsid w:val="00FD2071"/>
    <w:rsid w:val="00FD4418"/>
    <w:rsid w:val="00FD5D54"/>
    <w:rsid w:val="00FD6B1B"/>
    <w:rsid w:val="00FD736A"/>
    <w:rsid w:val="00FE04C7"/>
    <w:rsid w:val="00FE22F4"/>
    <w:rsid w:val="00FE2336"/>
    <w:rsid w:val="00FE29AF"/>
    <w:rsid w:val="00FE5A99"/>
    <w:rsid w:val="00FE5A9B"/>
    <w:rsid w:val="00FF0C2F"/>
    <w:rsid w:val="00FF1A6A"/>
    <w:rsid w:val="00FF1AAB"/>
    <w:rsid w:val="00FF1AC5"/>
    <w:rsid w:val="00FF3E40"/>
    <w:rsid w:val="00FF4651"/>
    <w:rsid w:val="00FF5ACC"/>
    <w:rsid w:val="00FF5DF2"/>
    <w:rsid w:val="00FF7A4B"/>
    <w:rsid w:val="00FF7B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shapedefaults>
    <o:shapelayout v:ext="edit">
      <o:idmap v:ext="edit" data="1"/>
    </o:shapelayout>
  </w:shapeDefaults>
  <w:decimalSymbol w:val="."/>
  <w:listSeparator w:val=","/>
  <w14:docId w14:val="04485DA6"/>
  <w15:docId w15:val="{B48E3CFE-B456-4C32-9025-048FA4D2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F7101"/>
    <w:pPr>
      <w:spacing w:line="240" w:lineRule="atLeast"/>
    </w:pPr>
    <w:rPr>
      <w:rFonts w:ascii="Arial" w:hAnsi="Arial"/>
      <w:lang w:eastAsia="en-US"/>
    </w:rPr>
  </w:style>
  <w:style w:type="paragraph" w:styleId="Heading1">
    <w:name w:val="heading 1"/>
    <w:aliases w:val="h1,A MAJOR/BOLD,Schedheading,Heading 1(Report Only),Heading apps,2,Heading 10,Heading 101,Head11,Heading apps1,Heading 102,Head12,Heading apps2,Heading 103,Head13,Heading apps3,Heading 104,Head14,Heading apps4,H1,1,Part,Head1,Kapitel"/>
    <w:basedOn w:val="Normal"/>
    <w:next w:val="BodyText"/>
    <w:qFormat/>
    <w:rsid w:val="009F7101"/>
    <w:pPr>
      <w:keepNext/>
      <w:numPr>
        <w:numId w:val="31"/>
      </w:numPr>
      <w:pBdr>
        <w:top w:val="single" w:sz="4" w:space="6" w:color="000000"/>
      </w:pBdr>
      <w:spacing w:after="240" w:line="280" w:lineRule="atLeast"/>
      <w:outlineLvl w:val="0"/>
    </w:pPr>
    <w:rPr>
      <w:rFonts w:ascii="Arial Bold" w:hAnsi="Arial Bold"/>
      <w:b/>
      <w:color w:val="0047BB"/>
      <w:kern w:val="28"/>
      <w:sz w:val="28"/>
      <w:szCs w:val="28"/>
    </w:rPr>
  </w:style>
  <w:style w:type="paragraph" w:styleId="Heading2">
    <w:name w:val="heading 2"/>
    <w:aliases w:val="Sub-heading,Sub-section heading,Reset numbering,Chapter Title,2 headline,h,H2,h2,L2,Level 2 Topic Heading,dd heading 2,dh2,l2,Heading 2 Hidden,2nd level,1.1,Head 2,1st level heading,level 2 no toc,I2,Section Title,H21,h21,heading 2,2m,h22,body"/>
    <w:basedOn w:val="Normal"/>
    <w:next w:val="BodyText"/>
    <w:qFormat/>
    <w:rsid w:val="009F7101"/>
    <w:pPr>
      <w:keepNext/>
      <w:numPr>
        <w:ilvl w:val="1"/>
        <w:numId w:val="31"/>
      </w:numPr>
      <w:spacing w:after="240"/>
      <w:outlineLvl w:val="1"/>
    </w:pPr>
    <w:rPr>
      <w:b/>
    </w:rPr>
  </w:style>
  <w:style w:type="paragraph" w:styleId="Heading3">
    <w:name w:val="heading 3"/>
    <w:aliases w:val="H3,h3,(a)"/>
    <w:basedOn w:val="Heading2"/>
    <w:link w:val="Heading3Char"/>
    <w:qFormat/>
    <w:rsid w:val="009F7101"/>
    <w:pPr>
      <w:keepNext w:val="0"/>
      <w:numPr>
        <w:ilvl w:val="2"/>
      </w:numPr>
      <w:outlineLvl w:val="2"/>
    </w:pPr>
    <w:rPr>
      <w:b w:val="0"/>
      <w:color w:val="000000"/>
    </w:rPr>
  </w:style>
  <w:style w:type="paragraph" w:styleId="Heading4">
    <w:name w:val="heading 4"/>
    <w:aliases w:val="h4,Heading 4 Char1 Char,Heading 4 Char Char1 Char,Heading 4 Char1 Char Char Char,Heading 4 Char Char1 Char Char Char,Heading 4 Char1 Char Char Char Char Char,Heading 4 Char Char1 Char Char Char Char Char,Heading 4 Char1,h41,h42"/>
    <w:basedOn w:val="BodyText"/>
    <w:link w:val="Heading4Char"/>
    <w:qFormat/>
    <w:rsid w:val="009F7101"/>
    <w:pPr>
      <w:numPr>
        <w:ilvl w:val="3"/>
        <w:numId w:val="31"/>
      </w:numPr>
      <w:outlineLvl w:val="3"/>
    </w:pPr>
  </w:style>
  <w:style w:type="paragraph" w:styleId="Heading5">
    <w:name w:val="heading 5"/>
    <w:aliases w:val="h5,H5,Heading 5 Char,Para5 Char,h5 Char,h51 Char,h52 Char,L5 Char,H5 Char,Level 3 - i Char,Document Title 2 Char,Level 3 - (i) Char,Heading 5 StGeorge Char,Dot GS Char,level5 Char,Heading 5(unused) Char,5 Char,DMO Heading 5 Char,Level 3 - i,5"/>
    <w:basedOn w:val="BodyText"/>
    <w:qFormat/>
    <w:rsid w:val="009F7101"/>
    <w:pPr>
      <w:numPr>
        <w:ilvl w:val="4"/>
        <w:numId w:val="31"/>
      </w:numPr>
      <w:outlineLvl w:val="4"/>
    </w:pPr>
  </w:style>
  <w:style w:type="paragraph" w:styleId="Heading6">
    <w:name w:val="heading 6"/>
    <w:aliases w:val="don't use 2,Sub-sub Para,Heading 6(unused),a,Legal Level 1.,(I),a.,a.1,H6,L1 PIP,Name of Org,h6,Heading 6(unused)1,Legal Level 1.1,h61,H61,L1 PIP1,Name of Org1,Heading 6(unused)2,Legal Level 1.2,h62,H62,L1 PIP2,Name of Org2,a.2,Legal Level 1.3"/>
    <w:basedOn w:val="Heading1"/>
    <w:next w:val="BodyText"/>
    <w:rsid w:val="009F7101"/>
    <w:pPr>
      <w:numPr>
        <w:ilvl w:val="5"/>
      </w:numPr>
      <w:pBdr>
        <w:top w:val="single" w:sz="6" w:space="6" w:color="auto"/>
      </w:pBdr>
      <w:spacing w:line="240" w:lineRule="atLeast"/>
      <w:outlineLvl w:val="5"/>
    </w:pPr>
    <w:rPr>
      <w:rFonts w:ascii="Arial" w:hAnsi="Arial"/>
    </w:rPr>
  </w:style>
  <w:style w:type="paragraph" w:styleId="Heading7">
    <w:name w:val="heading 7"/>
    <w:basedOn w:val="Heading1"/>
    <w:next w:val="BodyText"/>
    <w:qFormat/>
    <w:rsid w:val="009F7101"/>
    <w:pPr>
      <w:numPr>
        <w:ilvl w:val="6"/>
      </w:numPr>
      <w:pBdr>
        <w:top w:val="single" w:sz="6" w:space="6" w:color="000000"/>
      </w:pBdr>
      <w:spacing w:line="240" w:lineRule="atLeast"/>
      <w:outlineLvl w:val="6"/>
    </w:pPr>
    <w:rPr>
      <w:rFonts w:ascii="Arial" w:hAnsi="Arial"/>
    </w:rPr>
  </w:style>
  <w:style w:type="paragraph" w:styleId="Heading8">
    <w:name w:val="heading 8"/>
    <w:basedOn w:val="Heading1"/>
    <w:next w:val="BodyText"/>
    <w:qFormat/>
    <w:rsid w:val="009F7101"/>
    <w:pPr>
      <w:numPr>
        <w:ilvl w:val="7"/>
      </w:numPr>
      <w:pBdr>
        <w:top w:val="single" w:sz="4" w:space="6" w:color="auto"/>
      </w:pBdr>
      <w:spacing w:line="240" w:lineRule="atLeast"/>
      <w:outlineLvl w:val="7"/>
    </w:pPr>
    <w:rPr>
      <w:rFonts w:ascii="Arial" w:hAnsi="Arial"/>
    </w:rPr>
  </w:style>
  <w:style w:type="paragraph" w:styleId="Heading9">
    <w:name w:val="heading 9"/>
    <w:basedOn w:val="Normal"/>
    <w:next w:val="BodyText"/>
    <w:qFormat/>
    <w:rsid w:val="009F7101"/>
    <w:pPr>
      <w:keepNext/>
      <w:numPr>
        <w:ilvl w:val="8"/>
        <w:numId w:val="31"/>
      </w:numPr>
      <w:tabs>
        <w:tab w:val="left" w:pos="1134"/>
      </w:tabs>
      <w:spacing w:after="240"/>
      <w:outlineLvl w:val="8"/>
    </w:pPr>
    <w:rPr>
      <w:b/>
      <w:color w:val="0047B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9F7101"/>
    <w:pPr>
      <w:spacing w:before="120" w:after="120"/>
    </w:pPr>
  </w:style>
  <w:style w:type="paragraph" w:customStyle="1" w:styleId="BodyTextNoIndent">
    <w:name w:val="Body Text No Indent"/>
    <w:basedOn w:val="BodyText"/>
    <w:rsid w:val="009F7101"/>
    <w:pPr>
      <w:ind w:left="0"/>
    </w:pPr>
  </w:style>
  <w:style w:type="table" w:styleId="TableGrid">
    <w:name w:val="Table Grid"/>
    <w:basedOn w:val="TableNormal"/>
    <w:rsid w:val="009F7101"/>
    <w:pPr>
      <w:spacing w:before="120" w:after="120" w:line="240" w:lineRule="atLeast"/>
    </w:pPr>
    <w:rPr>
      <w:rFonts w:ascii="Arial" w:hAnsi="Arial"/>
    </w:rPr>
    <w:tblPr/>
  </w:style>
  <w:style w:type="paragraph" w:styleId="Header">
    <w:name w:val="header"/>
    <w:basedOn w:val="Normal"/>
    <w:link w:val="HeaderChar"/>
    <w:rsid w:val="009F7101"/>
  </w:style>
  <w:style w:type="paragraph" w:customStyle="1" w:styleId="DeedParties">
    <w:name w:val="Deed_Parties"/>
    <w:basedOn w:val="BodyText"/>
    <w:link w:val="DeedPartiesChar"/>
    <w:rsid w:val="00F679F9"/>
    <w:pPr>
      <w:numPr>
        <w:numId w:val="18"/>
      </w:numPr>
      <w:spacing w:after="120"/>
    </w:pPr>
  </w:style>
  <w:style w:type="paragraph" w:customStyle="1" w:styleId="DeedSubHeading">
    <w:name w:val="Deed_SubHeading"/>
    <w:basedOn w:val="Normal"/>
    <w:rsid w:val="00F679F9"/>
    <w:pPr>
      <w:spacing w:before="120" w:line="440" w:lineRule="exact"/>
    </w:pPr>
    <w:rPr>
      <w:spacing w:val="-8"/>
      <w:sz w:val="44"/>
      <w:szCs w:val="44"/>
    </w:rPr>
  </w:style>
  <w:style w:type="paragraph" w:customStyle="1" w:styleId="DeedTitle">
    <w:name w:val="Deed_Title"/>
    <w:basedOn w:val="Normal"/>
    <w:rsid w:val="00F679F9"/>
    <w:pPr>
      <w:spacing w:before="260"/>
    </w:pPr>
    <w:rPr>
      <w:b/>
      <w:sz w:val="24"/>
      <w:szCs w:val="24"/>
    </w:rPr>
  </w:style>
  <w:style w:type="character" w:styleId="FollowedHyperlink">
    <w:name w:val="FollowedHyperlink"/>
    <w:basedOn w:val="DefaultParagraphFont"/>
    <w:semiHidden/>
    <w:rsid w:val="009F7101"/>
    <w:rPr>
      <w:color w:val="800080"/>
      <w:u w:val="single"/>
    </w:rPr>
  </w:style>
  <w:style w:type="paragraph" w:styleId="NormalWeb">
    <w:name w:val="Normal (Web)"/>
    <w:basedOn w:val="Normal"/>
    <w:semiHidden/>
    <w:rsid w:val="009F7101"/>
    <w:rPr>
      <w:szCs w:val="24"/>
    </w:rPr>
  </w:style>
  <w:style w:type="character" w:styleId="PageNumber">
    <w:name w:val="page number"/>
    <w:basedOn w:val="DefaultParagraphFont"/>
    <w:rsid w:val="009F7101"/>
    <w:rPr>
      <w:rFonts w:ascii="Arial" w:hAnsi="Arial"/>
      <w:b/>
      <w:color w:val="auto"/>
      <w:sz w:val="14"/>
      <w:szCs w:val="16"/>
    </w:rPr>
  </w:style>
  <w:style w:type="character" w:styleId="Strong">
    <w:name w:val="Strong"/>
    <w:basedOn w:val="DefaultParagraphFont"/>
    <w:semiHidden/>
    <w:qFormat/>
    <w:rsid w:val="009F7101"/>
    <w:rPr>
      <w:b/>
      <w:bCs/>
    </w:rPr>
  </w:style>
  <w:style w:type="numbering" w:styleId="111111">
    <w:name w:val="Outline List 2"/>
    <w:basedOn w:val="NoList"/>
    <w:semiHidden/>
    <w:rsid w:val="009F7101"/>
    <w:pPr>
      <w:numPr>
        <w:numId w:val="13"/>
      </w:numPr>
    </w:pPr>
  </w:style>
  <w:style w:type="paragraph" w:customStyle="1" w:styleId="Sch1">
    <w:name w:val="Sch 1"/>
    <w:basedOn w:val="Heading1"/>
    <w:next w:val="BodyText"/>
    <w:qFormat/>
    <w:rsid w:val="00F679F9"/>
    <w:pPr>
      <w:numPr>
        <w:ilvl w:val="1"/>
        <w:numId w:val="28"/>
      </w:numPr>
      <w:pBdr>
        <w:top w:val="single" w:sz="4" w:space="6" w:color="auto"/>
      </w:pBdr>
    </w:pPr>
  </w:style>
  <w:style w:type="paragraph" w:styleId="BalloonText">
    <w:name w:val="Balloon Text"/>
    <w:basedOn w:val="Normal"/>
    <w:link w:val="BalloonTextChar"/>
    <w:semiHidden/>
    <w:rsid w:val="009F7101"/>
    <w:rPr>
      <w:rFonts w:ascii="Tahoma" w:hAnsi="Tahoma" w:cs="Tahoma"/>
      <w:sz w:val="16"/>
      <w:szCs w:val="16"/>
    </w:rPr>
  </w:style>
  <w:style w:type="paragraph" w:styleId="Caption">
    <w:name w:val="caption"/>
    <w:basedOn w:val="Normal"/>
    <w:next w:val="Normal"/>
    <w:semiHidden/>
    <w:qFormat/>
    <w:rsid w:val="009F7101"/>
    <w:pPr>
      <w:spacing w:after="200"/>
    </w:pPr>
    <w:rPr>
      <w:b/>
      <w:bCs/>
      <w:color w:val="4F81BD" w:themeColor="accent1"/>
      <w:sz w:val="18"/>
      <w:szCs w:val="18"/>
    </w:rPr>
  </w:style>
  <w:style w:type="character" w:styleId="CommentReference">
    <w:name w:val="annotation reference"/>
    <w:basedOn w:val="DefaultParagraphFont"/>
    <w:rsid w:val="009F7101"/>
    <w:rPr>
      <w:sz w:val="16"/>
      <w:szCs w:val="16"/>
    </w:rPr>
  </w:style>
  <w:style w:type="paragraph" w:styleId="CommentText">
    <w:name w:val="annotation text"/>
    <w:basedOn w:val="Normal"/>
    <w:link w:val="CommentTextChar"/>
    <w:rsid w:val="009F7101"/>
  </w:style>
  <w:style w:type="paragraph" w:styleId="CommentSubject">
    <w:name w:val="annotation subject"/>
    <w:basedOn w:val="CommentText"/>
    <w:next w:val="CommentText"/>
    <w:semiHidden/>
    <w:rsid w:val="009F7101"/>
    <w:rPr>
      <w:b/>
      <w:bCs/>
    </w:rPr>
  </w:style>
  <w:style w:type="paragraph" w:styleId="DocumentMap">
    <w:name w:val="Document Map"/>
    <w:basedOn w:val="Normal"/>
    <w:semiHidden/>
    <w:rsid w:val="009F7101"/>
    <w:pPr>
      <w:shd w:val="clear" w:color="auto" w:fill="000080"/>
    </w:pPr>
    <w:rPr>
      <w:rFonts w:ascii="Tahoma" w:hAnsi="Tahoma" w:cs="Tahoma"/>
    </w:rPr>
  </w:style>
  <w:style w:type="character" w:styleId="EndnoteReference">
    <w:name w:val="endnote reference"/>
    <w:basedOn w:val="DefaultParagraphFont"/>
    <w:semiHidden/>
    <w:rsid w:val="009F7101"/>
    <w:rPr>
      <w:vertAlign w:val="superscript"/>
    </w:rPr>
  </w:style>
  <w:style w:type="paragraph" w:styleId="EndnoteText">
    <w:name w:val="endnote text"/>
    <w:basedOn w:val="Normal"/>
    <w:rsid w:val="009F7101"/>
    <w:rPr>
      <w:sz w:val="16"/>
    </w:rPr>
  </w:style>
  <w:style w:type="character" w:styleId="FootnoteReference">
    <w:name w:val="footnote reference"/>
    <w:basedOn w:val="DefaultParagraphFont"/>
    <w:rsid w:val="009F7101"/>
    <w:rPr>
      <w:rFonts w:ascii="Arial" w:hAnsi="Arial"/>
      <w:vertAlign w:val="superscript"/>
    </w:rPr>
  </w:style>
  <w:style w:type="paragraph" w:styleId="FootnoteText">
    <w:name w:val="footnote text"/>
    <w:basedOn w:val="Normal"/>
    <w:rsid w:val="009F7101"/>
    <w:pPr>
      <w:spacing w:after="60" w:line="180" w:lineRule="exact"/>
      <w:ind w:left="85" w:hanging="85"/>
    </w:pPr>
    <w:rPr>
      <w:sz w:val="16"/>
      <w:szCs w:val="16"/>
    </w:rPr>
  </w:style>
  <w:style w:type="paragraph" w:styleId="Index1">
    <w:name w:val="index 1"/>
    <w:basedOn w:val="Normal"/>
    <w:next w:val="Normal"/>
    <w:autoRedefine/>
    <w:semiHidden/>
    <w:rsid w:val="009F7101"/>
    <w:pPr>
      <w:ind w:left="200" w:hanging="200"/>
    </w:pPr>
  </w:style>
  <w:style w:type="paragraph" w:styleId="Index2">
    <w:name w:val="index 2"/>
    <w:basedOn w:val="Normal"/>
    <w:next w:val="Normal"/>
    <w:autoRedefine/>
    <w:semiHidden/>
    <w:rsid w:val="009F7101"/>
    <w:pPr>
      <w:ind w:left="400" w:hanging="200"/>
    </w:pPr>
  </w:style>
  <w:style w:type="paragraph" w:styleId="Index3">
    <w:name w:val="index 3"/>
    <w:basedOn w:val="Normal"/>
    <w:next w:val="Normal"/>
    <w:autoRedefine/>
    <w:semiHidden/>
    <w:rsid w:val="009F7101"/>
    <w:pPr>
      <w:ind w:left="600" w:hanging="200"/>
    </w:pPr>
  </w:style>
  <w:style w:type="paragraph" w:styleId="Index4">
    <w:name w:val="index 4"/>
    <w:basedOn w:val="Normal"/>
    <w:next w:val="Normal"/>
    <w:autoRedefine/>
    <w:semiHidden/>
    <w:rsid w:val="009F7101"/>
    <w:pPr>
      <w:ind w:left="800" w:hanging="200"/>
    </w:pPr>
  </w:style>
  <w:style w:type="paragraph" w:styleId="Index5">
    <w:name w:val="index 5"/>
    <w:basedOn w:val="Normal"/>
    <w:next w:val="Normal"/>
    <w:autoRedefine/>
    <w:semiHidden/>
    <w:rsid w:val="009F7101"/>
    <w:pPr>
      <w:ind w:left="1000" w:hanging="200"/>
    </w:pPr>
  </w:style>
  <w:style w:type="paragraph" w:styleId="Index6">
    <w:name w:val="index 6"/>
    <w:basedOn w:val="Normal"/>
    <w:next w:val="Normal"/>
    <w:autoRedefine/>
    <w:semiHidden/>
    <w:rsid w:val="009F7101"/>
    <w:pPr>
      <w:ind w:left="1200" w:hanging="200"/>
    </w:pPr>
  </w:style>
  <w:style w:type="paragraph" w:styleId="Index7">
    <w:name w:val="index 7"/>
    <w:basedOn w:val="Normal"/>
    <w:next w:val="Normal"/>
    <w:autoRedefine/>
    <w:semiHidden/>
    <w:rsid w:val="009F7101"/>
    <w:pPr>
      <w:ind w:left="1400" w:hanging="200"/>
    </w:pPr>
  </w:style>
  <w:style w:type="paragraph" w:styleId="Index8">
    <w:name w:val="index 8"/>
    <w:basedOn w:val="Normal"/>
    <w:next w:val="Normal"/>
    <w:autoRedefine/>
    <w:semiHidden/>
    <w:rsid w:val="009F7101"/>
    <w:pPr>
      <w:ind w:left="1600" w:hanging="200"/>
    </w:pPr>
  </w:style>
  <w:style w:type="paragraph" w:styleId="Index9">
    <w:name w:val="index 9"/>
    <w:basedOn w:val="Normal"/>
    <w:next w:val="Normal"/>
    <w:autoRedefine/>
    <w:semiHidden/>
    <w:rsid w:val="009F7101"/>
    <w:pPr>
      <w:ind w:left="1800" w:hanging="200"/>
    </w:pPr>
  </w:style>
  <w:style w:type="paragraph" w:styleId="IndexHeading">
    <w:name w:val="index heading"/>
    <w:basedOn w:val="Normal"/>
    <w:next w:val="Index1"/>
    <w:semiHidden/>
    <w:rsid w:val="009F7101"/>
    <w:rPr>
      <w:rFonts w:cs="Arial"/>
      <w:b/>
      <w:bCs/>
    </w:rPr>
  </w:style>
  <w:style w:type="paragraph" w:styleId="MacroText">
    <w:name w:val="macro"/>
    <w:semiHidden/>
    <w:rsid w:val="009F71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TableofAuthorities">
    <w:name w:val="table of authorities"/>
    <w:basedOn w:val="Normal"/>
    <w:next w:val="Normal"/>
    <w:semiHidden/>
    <w:rsid w:val="009F7101"/>
    <w:pPr>
      <w:ind w:left="200" w:hanging="200"/>
    </w:pPr>
  </w:style>
  <w:style w:type="paragraph" w:styleId="TableofFigures">
    <w:name w:val="table of figures"/>
    <w:basedOn w:val="Normal"/>
    <w:next w:val="Normal"/>
    <w:semiHidden/>
    <w:rsid w:val="009F7101"/>
    <w:pPr>
      <w:ind w:left="400" w:hanging="400"/>
    </w:pPr>
  </w:style>
  <w:style w:type="paragraph" w:styleId="TOAHeading">
    <w:name w:val="toa heading"/>
    <w:basedOn w:val="Normal"/>
    <w:next w:val="Normal"/>
    <w:semiHidden/>
    <w:rsid w:val="009F7101"/>
    <w:pPr>
      <w:spacing w:before="120"/>
    </w:pPr>
    <w:rPr>
      <w:rFonts w:cs="Arial"/>
      <w:b/>
      <w:bCs/>
      <w:sz w:val="24"/>
      <w:szCs w:val="24"/>
    </w:rPr>
  </w:style>
  <w:style w:type="paragraph" w:styleId="TOC1">
    <w:name w:val="toc 1"/>
    <w:basedOn w:val="Normal"/>
    <w:next w:val="Normal"/>
    <w:rsid w:val="009F7101"/>
    <w:pPr>
      <w:tabs>
        <w:tab w:val="right" w:pos="7655"/>
      </w:tabs>
      <w:spacing w:after="240"/>
      <w:ind w:left="1701" w:right="1985" w:hanging="567"/>
    </w:pPr>
  </w:style>
  <w:style w:type="paragraph" w:styleId="TOC2">
    <w:name w:val="toc 2"/>
    <w:basedOn w:val="TOC1"/>
    <w:next w:val="TOC1"/>
    <w:rsid w:val="009F7101"/>
    <w:pPr>
      <w:tabs>
        <w:tab w:val="left" w:pos="2608"/>
      </w:tabs>
      <w:ind w:left="1486" w:firstLine="0"/>
    </w:pPr>
    <w:rPr>
      <w:noProof/>
    </w:rPr>
  </w:style>
  <w:style w:type="paragraph" w:styleId="TOC3">
    <w:name w:val="toc 3"/>
    <w:basedOn w:val="TOC2"/>
    <w:rsid w:val="009F7101"/>
    <w:pPr>
      <w:tabs>
        <w:tab w:val="clear" w:pos="2608"/>
        <w:tab w:val="left" w:pos="2835"/>
      </w:tabs>
    </w:pPr>
  </w:style>
  <w:style w:type="paragraph" w:styleId="TOC4">
    <w:name w:val="toc 4"/>
    <w:basedOn w:val="Normal"/>
    <w:rsid w:val="009F7101"/>
  </w:style>
  <w:style w:type="paragraph" w:styleId="TOC5">
    <w:name w:val="toc 5"/>
    <w:basedOn w:val="Normal"/>
    <w:rsid w:val="009F7101"/>
  </w:style>
  <w:style w:type="paragraph" w:styleId="TOC6">
    <w:name w:val="toc 6"/>
    <w:basedOn w:val="Normal"/>
    <w:semiHidden/>
    <w:rsid w:val="009F7101"/>
  </w:style>
  <w:style w:type="paragraph" w:styleId="TOC7">
    <w:name w:val="toc 7"/>
    <w:basedOn w:val="Normal"/>
    <w:semiHidden/>
    <w:rsid w:val="009F7101"/>
  </w:style>
  <w:style w:type="paragraph" w:styleId="TOC8">
    <w:name w:val="toc 8"/>
    <w:basedOn w:val="Normal"/>
    <w:semiHidden/>
    <w:rsid w:val="009F7101"/>
  </w:style>
  <w:style w:type="paragraph" w:styleId="TOC9">
    <w:name w:val="toc 9"/>
    <w:basedOn w:val="Normal"/>
    <w:semiHidden/>
    <w:rsid w:val="009F7101"/>
  </w:style>
  <w:style w:type="paragraph" w:customStyle="1" w:styleId="Heading1NoNumber">
    <w:name w:val="Heading 1 No Number"/>
    <w:basedOn w:val="Heading1"/>
    <w:next w:val="Normal"/>
    <w:rsid w:val="00F679F9"/>
    <w:pPr>
      <w:numPr>
        <w:numId w:val="0"/>
      </w:numPr>
      <w:ind w:firstLine="567"/>
    </w:pPr>
  </w:style>
  <w:style w:type="paragraph" w:customStyle="1" w:styleId="DeedAttachment">
    <w:name w:val="Deed_Attachment"/>
    <w:basedOn w:val="Normal"/>
    <w:next w:val="BodyText"/>
    <w:semiHidden/>
    <w:rsid w:val="00F679F9"/>
    <w:pPr>
      <w:numPr>
        <w:numId w:val="16"/>
      </w:numPr>
      <w:tabs>
        <w:tab w:val="clear" w:pos="284"/>
      </w:tabs>
      <w:spacing w:line="260" w:lineRule="atLeast"/>
      <w:ind w:left="370" w:hanging="360"/>
    </w:pPr>
    <w:rPr>
      <w:b/>
      <w:bCs/>
      <w:color w:val="195988"/>
      <w:sz w:val="28"/>
      <w:szCs w:val="28"/>
    </w:rPr>
  </w:style>
  <w:style w:type="character" w:styleId="Hyperlink">
    <w:name w:val="Hyperlink"/>
    <w:basedOn w:val="DefaultParagraphFont"/>
    <w:rsid w:val="009F7101"/>
    <w:rPr>
      <w:color w:val="0000FF"/>
      <w:u w:val="single"/>
    </w:rPr>
  </w:style>
  <w:style w:type="paragraph" w:customStyle="1" w:styleId="DeedPart">
    <w:name w:val="Deed_Part"/>
    <w:basedOn w:val="Heading1NoNumber"/>
    <w:next w:val="BodyText"/>
    <w:semiHidden/>
    <w:rsid w:val="00F679F9"/>
    <w:pPr>
      <w:pBdr>
        <w:top w:val="none" w:sz="0" w:space="0" w:color="auto"/>
      </w:pBdr>
      <w:ind w:left="-1134" w:firstLine="0"/>
    </w:pPr>
  </w:style>
  <w:style w:type="paragraph" w:customStyle="1" w:styleId="PrecListBullet">
    <w:name w:val="Prec List Bullet"/>
    <w:basedOn w:val="ListBullet"/>
    <w:rsid w:val="009F7101"/>
    <w:pPr>
      <w:numPr>
        <w:numId w:val="26"/>
      </w:numPr>
      <w:spacing w:before="60" w:after="60"/>
    </w:pPr>
    <w:rPr>
      <w:sz w:val="16"/>
    </w:rPr>
  </w:style>
  <w:style w:type="paragraph" w:styleId="BodyText">
    <w:name w:val="Body Text"/>
    <w:basedOn w:val="Normal"/>
    <w:link w:val="BodyTextChar"/>
    <w:qFormat/>
    <w:rsid w:val="009F7101"/>
    <w:pPr>
      <w:spacing w:after="240"/>
      <w:ind w:left="1134"/>
    </w:pPr>
  </w:style>
  <w:style w:type="paragraph" w:styleId="BlockText">
    <w:name w:val="Block Text"/>
    <w:basedOn w:val="Normal"/>
    <w:next w:val="BodyText"/>
    <w:semiHidden/>
    <w:rsid w:val="009F7101"/>
    <w:pPr>
      <w:spacing w:after="120"/>
      <w:ind w:left="1134"/>
    </w:pPr>
  </w:style>
  <w:style w:type="paragraph" w:customStyle="1" w:styleId="DeedBackground">
    <w:name w:val="Deed_Background"/>
    <w:basedOn w:val="BodyText"/>
    <w:rsid w:val="00F679F9"/>
    <w:pPr>
      <w:numPr>
        <w:numId w:val="17"/>
      </w:numPr>
    </w:pPr>
  </w:style>
  <w:style w:type="paragraph" w:customStyle="1" w:styleId="Sch2">
    <w:name w:val="Sch 2"/>
    <w:basedOn w:val="Heading2"/>
    <w:next w:val="BodyText"/>
    <w:qFormat/>
    <w:rsid w:val="00F679F9"/>
    <w:pPr>
      <w:numPr>
        <w:ilvl w:val="2"/>
        <w:numId w:val="28"/>
      </w:numPr>
    </w:pPr>
  </w:style>
  <w:style w:type="paragraph" w:customStyle="1" w:styleId="PrecListBullet2">
    <w:name w:val="Prec List Bullet 2"/>
    <w:basedOn w:val="PrecListBullet"/>
    <w:rsid w:val="009F7101"/>
    <w:pPr>
      <w:numPr>
        <w:numId w:val="27"/>
      </w:numPr>
      <w:tabs>
        <w:tab w:val="left" w:pos="284"/>
      </w:tabs>
    </w:pPr>
  </w:style>
  <w:style w:type="paragraph" w:styleId="ListBullet">
    <w:name w:val="List Bullet"/>
    <w:basedOn w:val="BodyText"/>
    <w:qFormat/>
    <w:rsid w:val="009F7101"/>
    <w:pPr>
      <w:numPr>
        <w:numId w:val="19"/>
      </w:numPr>
    </w:pPr>
  </w:style>
  <w:style w:type="paragraph" w:styleId="ListBullet2">
    <w:name w:val="List Bullet 2"/>
    <w:basedOn w:val="ListBullet"/>
    <w:rsid w:val="009F7101"/>
    <w:pPr>
      <w:numPr>
        <w:ilvl w:val="1"/>
      </w:numPr>
    </w:pPr>
  </w:style>
  <w:style w:type="paragraph" w:styleId="ListBullet3">
    <w:name w:val="List Bullet 3"/>
    <w:basedOn w:val="Normal"/>
    <w:semiHidden/>
    <w:rsid w:val="009F7101"/>
    <w:pPr>
      <w:numPr>
        <w:numId w:val="34"/>
      </w:numPr>
      <w:tabs>
        <w:tab w:val="clear" w:pos="926"/>
        <w:tab w:val="num" w:pos="1134"/>
      </w:tabs>
      <w:ind w:left="1134" w:hanging="567"/>
    </w:pPr>
  </w:style>
  <w:style w:type="paragraph" w:styleId="ListBullet4">
    <w:name w:val="List Bullet 4"/>
    <w:basedOn w:val="Normal"/>
    <w:semiHidden/>
    <w:rsid w:val="009F7101"/>
    <w:pPr>
      <w:numPr>
        <w:numId w:val="35"/>
      </w:numPr>
      <w:tabs>
        <w:tab w:val="clear" w:pos="1209"/>
        <w:tab w:val="num" w:pos="1287"/>
      </w:tabs>
      <w:ind w:left="1287" w:hanging="567"/>
    </w:pPr>
  </w:style>
  <w:style w:type="paragraph" w:styleId="ListBullet5">
    <w:name w:val="List Bullet 5"/>
    <w:basedOn w:val="Normal"/>
    <w:semiHidden/>
    <w:rsid w:val="009F7101"/>
    <w:pPr>
      <w:numPr>
        <w:numId w:val="36"/>
      </w:numPr>
      <w:tabs>
        <w:tab w:val="clear" w:pos="1492"/>
        <w:tab w:val="num" w:pos="1701"/>
      </w:tabs>
      <w:ind w:left="1701" w:hanging="567"/>
    </w:pPr>
  </w:style>
  <w:style w:type="numbering" w:styleId="ArticleSection">
    <w:name w:val="Outline List 3"/>
    <w:basedOn w:val="NoList"/>
    <w:semiHidden/>
    <w:rsid w:val="009F7101"/>
    <w:pPr>
      <w:numPr>
        <w:numId w:val="15"/>
      </w:numPr>
    </w:pPr>
  </w:style>
  <w:style w:type="paragraph" w:styleId="Closing">
    <w:name w:val="Closing"/>
    <w:basedOn w:val="Normal"/>
    <w:semiHidden/>
    <w:rsid w:val="009F7101"/>
    <w:pPr>
      <w:ind w:left="4252"/>
    </w:pPr>
  </w:style>
  <w:style w:type="paragraph" w:styleId="Date">
    <w:name w:val="Date"/>
    <w:basedOn w:val="Normal"/>
    <w:next w:val="Normal"/>
    <w:semiHidden/>
    <w:rsid w:val="009F7101"/>
  </w:style>
  <w:style w:type="paragraph" w:styleId="E-mailSignature">
    <w:name w:val="E-mail Signature"/>
    <w:basedOn w:val="Normal"/>
    <w:semiHidden/>
    <w:rsid w:val="009F7101"/>
  </w:style>
  <w:style w:type="character" w:styleId="Emphasis">
    <w:name w:val="Emphasis"/>
    <w:basedOn w:val="DefaultParagraphFont"/>
    <w:qFormat/>
    <w:rsid w:val="009F7101"/>
    <w:rPr>
      <w:i/>
      <w:iCs/>
    </w:rPr>
  </w:style>
  <w:style w:type="paragraph" w:styleId="EnvelopeAddress">
    <w:name w:val="envelope address"/>
    <w:basedOn w:val="Normal"/>
    <w:semiHidden/>
    <w:rsid w:val="009F7101"/>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9F7101"/>
    <w:rPr>
      <w:rFonts w:cs="Arial"/>
    </w:rPr>
  </w:style>
  <w:style w:type="character" w:styleId="HTMLAcronym">
    <w:name w:val="HTML Acronym"/>
    <w:basedOn w:val="DefaultParagraphFont"/>
    <w:semiHidden/>
    <w:rsid w:val="009F7101"/>
  </w:style>
  <w:style w:type="paragraph" w:styleId="HTMLAddress">
    <w:name w:val="HTML Address"/>
    <w:basedOn w:val="Normal"/>
    <w:semiHidden/>
    <w:rsid w:val="009F7101"/>
    <w:rPr>
      <w:i/>
      <w:iCs/>
    </w:rPr>
  </w:style>
  <w:style w:type="character" w:styleId="HTMLCite">
    <w:name w:val="HTML Cite"/>
    <w:basedOn w:val="DefaultParagraphFont"/>
    <w:semiHidden/>
    <w:rsid w:val="009F7101"/>
    <w:rPr>
      <w:i/>
      <w:iCs/>
    </w:rPr>
  </w:style>
  <w:style w:type="character" w:styleId="HTMLCode">
    <w:name w:val="HTML Code"/>
    <w:basedOn w:val="DefaultParagraphFont"/>
    <w:semiHidden/>
    <w:rsid w:val="009F7101"/>
    <w:rPr>
      <w:rFonts w:ascii="Courier New" w:hAnsi="Courier New" w:cs="Courier New"/>
      <w:sz w:val="20"/>
      <w:szCs w:val="20"/>
    </w:rPr>
  </w:style>
  <w:style w:type="character" w:styleId="HTMLDefinition">
    <w:name w:val="HTML Definition"/>
    <w:basedOn w:val="DefaultParagraphFont"/>
    <w:semiHidden/>
    <w:rsid w:val="009F7101"/>
    <w:rPr>
      <w:i/>
      <w:iCs/>
    </w:rPr>
  </w:style>
  <w:style w:type="character" w:styleId="HTMLKeyboard">
    <w:name w:val="HTML Keyboard"/>
    <w:basedOn w:val="DefaultParagraphFont"/>
    <w:semiHidden/>
    <w:rsid w:val="009F7101"/>
    <w:rPr>
      <w:rFonts w:ascii="Courier New" w:hAnsi="Courier New" w:cs="Courier New"/>
      <w:sz w:val="20"/>
      <w:szCs w:val="20"/>
    </w:rPr>
  </w:style>
  <w:style w:type="paragraph" w:styleId="HTMLPreformatted">
    <w:name w:val="HTML Preformatted"/>
    <w:basedOn w:val="Normal"/>
    <w:semiHidden/>
    <w:rsid w:val="009F7101"/>
    <w:rPr>
      <w:rFonts w:ascii="Courier New" w:hAnsi="Courier New" w:cs="Courier New"/>
    </w:rPr>
  </w:style>
  <w:style w:type="character" w:styleId="HTMLSample">
    <w:name w:val="HTML Sample"/>
    <w:basedOn w:val="DefaultParagraphFont"/>
    <w:semiHidden/>
    <w:rsid w:val="009F7101"/>
    <w:rPr>
      <w:rFonts w:ascii="Courier New" w:hAnsi="Courier New" w:cs="Courier New"/>
    </w:rPr>
  </w:style>
  <w:style w:type="character" w:styleId="HTMLTypewriter">
    <w:name w:val="HTML Typewriter"/>
    <w:basedOn w:val="DefaultParagraphFont"/>
    <w:semiHidden/>
    <w:rsid w:val="009F7101"/>
    <w:rPr>
      <w:rFonts w:ascii="Courier New" w:hAnsi="Courier New" w:cs="Courier New"/>
      <w:sz w:val="20"/>
      <w:szCs w:val="20"/>
    </w:rPr>
  </w:style>
  <w:style w:type="character" w:styleId="HTMLVariable">
    <w:name w:val="HTML Variable"/>
    <w:basedOn w:val="DefaultParagraphFont"/>
    <w:semiHidden/>
    <w:rsid w:val="009F7101"/>
    <w:rPr>
      <w:i/>
      <w:iCs/>
    </w:rPr>
  </w:style>
  <w:style w:type="character" w:styleId="LineNumber">
    <w:name w:val="line number"/>
    <w:basedOn w:val="DefaultParagraphFont"/>
    <w:semiHidden/>
    <w:rsid w:val="009F7101"/>
  </w:style>
  <w:style w:type="paragraph" w:styleId="List">
    <w:name w:val="List"/>
    <w:basedOn w:val="Normal"/>
    <w:semiHidden/>
    <w:rsid w:val="009F7101"/>
    <w:pPr>
      <w:ind w:left="283" w:hanging="283"/>
    </w:pPr>
  </w:style>
  <w:style w:type="paragraph" w:styleId="List2">
    <w:name w:val="List 2"/>
    <w:basedOn w:val="Normal"/>
    <w:semiHidden/>
    <w:rsid w:val="009F7101"/>
    <w:pPr>
      <w:ind w:left="566" w:hanging="283"/>
    </w:pPr>
  </w:style>
  <w:style w:type="paragraph" w:styleId="List3">
    <w:name w:val="List 3"/>
    <w:basedOn w:val="Normal"/>
    <w:semiHidden/>
    <w:rsid w:val="009F7101"/>
    <w:pPr>
      <w:ind w:left="849" w:hanging="283"/>
    </w:pPr>
  </w:style>
  <w:style w:type="paragraph" w:styleId="List4">
    <w:name w:val="List 4"/>
    <w:basedOn w:val="Normal"/>
    <w:semiHidden/>
    <w:rsid w:val="009F7101"/>
    <w:pPr>
      <w:ind w:left="1132" w:hanging="283"/>
    </w:pPr>
  </w:style>
  <w:style w:type="paragraph" w:styleId="List5">
    <w:name w:val="List 5"/>
    <w:basedOn w:val="Normal"/>
    <w:semiHidden/>
    <w:rsid w:val="009F7101"/>
    <w:pPr>
      <w:ind w:left="1415" w:hanging="283"/>
    </w:pPr>
  </w:style>
  <w:style w:type="paragraph" w:styleId="ListContinue">
    <w:name w:val="List Continue"/>
    <w:basedOn w:val="Normal"/>
    <w:semiHidden/>
    <w:rsid w:val="009F7101"/>
    <w:pPr>
      <w:spacing w:after="120"/>
      <w:ind w:left="283"/>
    </w:pPr>
  </w:style>
  <w:style w:type="paragraph" w:styleId="ListContinue2">
    <w:name w:val="List Continue 2"/>
    <w:basedOn w:val="Normal"/>
    <w:semiHidden/>
    <w:rsid w:val="009F7101"/>
    <w:pPr>
      <w:spacing w:after="120"/>
      <w:ind w:left="566"/>
    </w:pPr>
  </w:style>
  <w:style w:type="paragraph" w:styleId="ListContinue3">
    <w:name w:val="List Continue 3"/>
    <w:basedOn w:val="Normal"/>
    <w:semiHidden/>
    <w:rsid w:val="009F7101"/>
    <w:pPr>
      <w:spacing w:after="120"/>
      <w:ind w:left="849"/>
    </w:pPr>
  </w:style>
  <w:style w:type="paragraph" w:styleId="ListContinue4">
    <w:name w:val="List Continue 4"/>
    <w:basedOn w:val="Normal"/>
    <w:semiHidden/>
    <w:rsid w:val="009F7101"/>
    <w:pPr>
      <w:spacing w:after="120"/>
      <w:ind w:left="1132"/>
    </w:pPr>
  </w:style>
  <w:style w:type="paragraph" w:styleId="ListContinue5">
    <w:name w:val="List Continue 5"/>
    <w:basedOn w:val="Normal"/>
    <w:semiHidden/>
    <w:rsid w:val="009F7101"/>
    <w:pPr>
      <w:spacing w:after="120"/>
      <w:ind w:left="1415"/>
    </w:pPr>
  </w:style>
  <w:style w:type="paragraph" w:styleId="ListNumber">
    <w:name w:val="List Number"/>
    <w:basedOn w:val="BodyText"/>
    <w:qFormat/>
    <w:rsid w:val="009F7101"/>
    <w:pPr>
      <w:numPr>
        <w:numId w:val="20"/>
      </w:numPr>
    </w:pPr>
    <w:rPr>
      <w:lang w:eastAsia="en-AU"/>
    </w:rPr>
  </w:style>
  <w:style w:type="paragraph" w:styleId="ListNumber2">
    <w:name w:val="List Number 2"/>
    <w:basedOn w:val="ListNumber"/>
    <w:semiHidden/>
    <w:rsid w:val="009F7101"/>
    <w:pPr>
      <w:numPr>
        <w:ilvl w:val="1"/>
      </w:numPr>
    </w:pPr>
  </w:style>
  <w:style w:type="paragraph" w:styleId="ListNumber3">
    <w:name w:val="List Number 3"/>
    <w:basedOn w:val="Normal"/>
    <w:semiHidden/>
    <w:rsid w:val="009F7101"/>
    <w:pPr>
      <w:numPr>
        <w:numId w:val="21"/>
      </w:numPr>
      <w:tabs>
        <w:tab w:val="clear" w:pos="926"/>
        <w:tab w:val="num" w:pos="1701"/>
      </w:tabs>
      <w:ind w:left="1701" w:hanging="567"/>
    </w:pPr>
  </w:style>
  <w:style w:type="paragraph" w:styleId="ListNumber4">
    <w:name w:val="List Number 4"/>
    <w:basedOn w:val="Normal"/>
    <w:semiHidden/>
    <w:rsid w:val="009F7101"/>
    <w:pPr>
      <w:numPr>
        <w:numId w:val="22"/>
      </w:numPr>
      <w:tabs>
        <w:tab w:val="clear" w:pos="1209"/>
        <w:tab w:val="num" w:pos="1701"/>
      </w:tabs>
      <w:ind w:left="1701" w:hanging="567"/>
    </w:pPr>
  </w:style>
  <w:style w:type="paragraph" w:styleId="ListNumber5">
    <w:name w:val="List Number 5"/>
    <w:basedOn w:val="Normal"/>
    <w:semiHidden/>
    <w:rsid w:val="009F7101"/>
    <w:pPr>
      <w:numPr>
        <w:numId w:val="23"/>
      </w:numPr>
      <w:tabs>
        <w:tab w:val="clear" w:pos="1492"/>
        <w:tab w:val="num" w:pos="1701"/>
      </w:tabs>
      <w:ind w:left="1701" w:hanging="567"/>
    </w:pPr>
  </w:style>
  <w:style w:type="paragraph" w:styleId="MessageHeader">
    <w:name w:val="Message Header"/>
    <w:basedOn w:val="Normal"/>
    <w:semiHidden/>
    <w:rsid w:val="009F710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semiHidden/>
    <w:rsid w:val="009F7101"/>
    <w:pPr>
      <w:ind w:left="720"/>
    </w:pPr>
  </w:style>
  <w:style w:type="paragraph" w:styleId="NoteHeading">
    <w:name w:val="Note Heading"/>
    <w:basedOn w:val="Normal"/>
    <w:next w:val="Normal"/>
    <w:semiHidden/>
    <w:rsid w:val="009F7101"/>
  </w:style>
  <w:style w:type="paragraph" w:styleId="PlainText">
    <w:name w:val="Plain Text"/>
    <w:basedOn w:val="Normal"/>
    <w:semiHidden/>
    <w:rsid w:val="009F7101"/>
    <w:rPr>
      <w:rFonts w:ascii="Courier New" w:hAnsi="Courier New" w:cs="Courier New"/>
    </w:rPr>
  </w:style>
  <w:style w:type="paragraph" w:styleId="Signature">
    <w:name w:val="Signature"/>
    <w:basedOn w:val="Normal"/>
    <w:semiHidden/>
    <w:rsid w:val="009F7101"/>
    <w:pPr>
      <w:ind w:left="4252"/>
    </w:pPr>
  </w:style>
  <w:style w:type="paragraph" w:styleId="Subtitle">
    <w:name w:val="Subtitle"/>
    <w:basedOn w:val="Normal"/>
    <w:semiHidden/>
    <w:qFormat/>
    <w:rsid w:val="009F7101"/>
    <w:pPr>
      <w:spacing w:after="60"/>
      <w:jc w:val="center"/>
      <w:outlineLvl w:val="1"/>
    </w:pPr>
    <w:rPr>
      <w:rFonts w:cs="Arial"/>
      <w:sz w:val="24"/>
      <w:szCs w:val="24"/>
    </w:rPr>
  </w:style>
  <w:style w:type="table" w:styleId="Table3Deffects1">
    <w:name w:val="Table 3D effects 1"/>
    <w:basedOn w:val="TableNormal"/>
    <w:semiHidden/>
    <w:rsid w:val="009F7101"/>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F7101"/>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F7101"/>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F7101"/>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F7101"/>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F7101"/>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F7101"/>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F7101"/>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F7101"/>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F7101"/>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F7101"/>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F7101"/>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F7101"/>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F7101"/>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F7101"/>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F7101"/>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F7101"/>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F710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F7101"/>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F7101"/>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F7101"/>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F7101"/>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F7101"/>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F7101"/>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F7101"/>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F7101"/>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F7101"/>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F7101"/>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F7101"/>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F710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F7101"/>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F7101"/>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F7101"/>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F710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F710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F710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F7101"/>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F710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F710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F710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F710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F710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F710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9F7101"/>
    <w:pPr>
      <w:spacing w:before="240" w:after="60"/>
      <w:jc w:val="center"/>
      <w:outlineLvl w:val="0"/>
    </w:pPr>
    <w:rPr>
      <w:rFonts w:cs="Arial"/>
      <w:b/>
      <w:bCs/>
      <w:kern w:val="28"/>
      <w:sz w:val="32"/>
      <w:szCs w:val="32"/>
    </w:rPr>
  </w:style>
  <w:style w:type="character" w:customStyle="1" w:styleId="GT">
    <w:name w:val="G+T"/>
    <w:basedOn w:val="DefaultParagraphFont"/>
    <w:rsid w:val="009F7101"/>
    <w:rPr>
      <w:rFonts w:ascii="Arial" w:hAnsi="Arial" w:cs="Arial"/>
      <w:color w:val="004473"/>
      <w:sz w:val="18"/>
      <w:szCs w:val="18"/>
    </w:rPr>
  </w:style>
  <w:style w:type="paragraph" w:customStyle="1" w:styleId="Heading">
    <w:name w:val="Heading"/>
    <w:basedOn w:val="Heading1"/>
    <w:next w:val="BodyText"/>
    <w:qFormat/>
    <w:rsid w:val="009F7101"/>
    <w:pPr>
      <w:numPr>
        <w:numId w:val="0"/>
      </w:numPr>
    </w:pPr>
  </w:style>
  <w:style w:type="paragraph" w:customStyle="1" w:styleId="Subheading">
    <w:name w:val="Subheading"/>
    <w:basedOn w:val="Heading2"/>
    <w:next w:val="BodyText"/>
    <w:qFormat/>
    <w:rsid w:val="009F7101"/>
    <w:pPr>
      <w:numPr>
        <w:ilvl w:val="0"/>
        <w:numId w:val="0"/>
      </w:numPr>
    </w:pPr>
    <w:rPr>
      <w:rFonts w:ascii="Arial (W1)" w:hAnsi="Arial (W1)"/>
      <w:kern w:val="28"/>
    </w:rPr>
  </w:style>
  <w:style w:type="paragraph" w:customStyle="1" w:styleId="Heading1Signing">
    <w:name w:val="Heading 1 Signing"/>
    <w:basedOn w:val="Heading1"/>
    <w:next w:val="Normal"/>
    <w:rsid w:val="00F679F9"/>
    <w:pPr>
      <w:numPr>
        <w:numId w:val="0"/>
      </w:numPr>
      <w:pBdr>
        <w:top w:val="single" w:sz="4" w:space="6" w:color="auto"/>
      </w:pBdr>
    </w:pPr>
  </w:style>
  <w:style w:type="paragraph" w:customStyle="1" w:styleId="DeedTOC">
    <w:name w:val="Deed_TOC"/>
    <w:basedOn w:val="Normal"/>
    <w:rsid w:val="00F679F9"/>
    <w:pPr>
      <w:pBdr>
        <w:top w:val="single" w:sz="4" w:space="6" w:color="000000"/>
      </w:pBdr>
      <w:tabs>
        <w:tab w:val="left" w:pos="1134"/>
        <w:tab w:val="right" w:pos="7655"/>
      </w:tabs>
      <w:spacing w:after="240" w:line="260" w:lineRule="atLeast"/>
      <w:ind w:firstLine="567"/>
    </w:pPr>
    <w:rPr>
      <w:b/>
      <w:bCs/>
      <w:color w:val="0047BB"/>
      <w:sz w:val="28"/>
      <w:szCs w:val="28"/>
    </w:rPr>
  </w:style>
  <w:style w:type="paragraph" w:customStyle="1" w:styleId="DeedHeading">
    <w:name w:val="Deed_Heading"/>
    <w:basedOn w:val="Normal"/>
    <w:rsid w:val="00F679F9"/>
    <w:pPr>
      <w:pBdr>
        <w:top w:val="single" w:sz="24" w:space="7" w:color="0047BB"/>
      </w:pBdr>
      <w:spacing w:line="440" w:lineRule="exact"/>
    </w:pPr>
    <w:rPr>
      <w:rFonts w:ascii="Arial Black" w:hAnsi="Arial Black"/>
      <w:sz w:val="44"/>
    </w:rPr>
  </w:style>
  <w:style w:type="table" w:customStyle="1" w:styleId="GTTable">
    <w:name w:val="G+T Table"/>
    <w:basedOn w:val="TableGrid"/>
    <w:rsid w:val="009F7101"/>
    <w:pPr>
      <w:spacing w:before="60" w:after="60" w:line="240" w:lineRule="auto"/>
    </w:p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themeColor="background1"/>
      </w:rPr>
      <w:tblPr/>
      <w:tcPr>
        <w:tcBorders>
          <w:top w:val="single" w:sz="8" w:space="0" w:color="auto"/>
          <w:left w:val="single" w:sz="8" w:space="0" w:color="auto"/>
          <w:bottom w:val="single" w:sz="8" w:space="0" w:color="auto"/>
          <w:right w:val="single" w:sz="8" w:space="0" w:color="auto"/>
          <w:insideH w:val="single" w:sz="6" w:space="0" w:color="auto"/>
          <w:insideV w:val="single" w:sz="6" w:space="0" w:color="auto"/>
        </w:tcBorders>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Sch3">
    <w:name w:val="Sch 3"/>
    <w:basedOn w:val="Heading3"/>
    <w:link w:val="Sch3Char"/>
    <w:qFormat/>
    <w:rsid w:val="00F679F9"/>
    <w:pPr>
      <w:numPr>
        <w:ilvl w:val="3"/>
        <w:numId w:val="28"/>
      </w:numPr>
    </w:pPr>
  </w:style>
  <w:style w:type="paragraph" w:customStyle="1" w:styleId="Sch4">
    <w:name w:val="Sch 4"/>
    <w:basedOn w:val="Heading4"/>
    <w:link w:val="Sch4Char"/>
    <w:qFormat/>
    <w:rsid w:val="00F679F9"/>
    <w:pPr>
      <w:numPr>
        <w:ilvl w:val="4"/>
        <w:numId w:val="28"/>
      </w:numPr>
    </w:pPr>
  </w:style>
  <w:style w:type="paragraph" w:customStyle="1" w:styleId="Sch5">
    <w:name w:val="Sch 5"/>
    <w:basedOn w:val="Heading5"/>
    <w:qFormat/>
    <w:rsid w:val="00F679F9"/>
    <w:pPr>
      <w:numPr>
        <w:ilvl w:val="5"/>
        <w:numId w:val="28"/>
      </w:numPr>
    </w:pPr>
  </w:style>
  <w:style w:type="character" w:customStyle="1" w:styleId="Partreference">
    <w:name w:val="Part reference"/>
    <w:basedOn w:val="DefaultParagraphFont"/>
    <w:rsid w:val="00F679F9"/>
    <w:rPr>
      <w:b/>
      <w:sz w:val="16"/>
      <w:szCs w:val="16"/>
    </w:rPr>
  </w:style>
  <w:style w:type="numbering" w:styleId="1ai">
    <w:name w:val="Outline List 1"/>
    <w:basedOn w:val="NoList"/>
    <w:semiHidden/>
    <w:rsid w:val="009F7101"/>
    <w:pPr>
      <w:numPr>
        <w:numId w:val="14"/>
      </w:numPr>
    </w:pPr>
  </w:style>
  <w:style w:type="paragraph" w:styleId="BodyText2">
    <w:name w:val="Body Text 2"/>
    <w:basedOn w:val="Normal"/>
    <w:semiHidden/>
    <w:rsid w:val="009F7101"/>
    <w:pPr>
      <w:spacing w:after="120" w:line="480" w:lineRule="auto"/>
    </w:pPr>
  </w:style>
  <w:style w:type="paragraph" w:styleId="BodyText3">
    <w:name w:val="Body Text 3"/>
    <w:basedOn w:val="Normal"/>
    <w:semiHidden/>
    <w:rsid w:val="009F7101"/>
    <w:pPr>
      <w:spacing w:after="120"/>
    </w:pPr>
    <w:rPr>
      <w:sz w:val="16"/>
      <w:szCs w:val="16"/>
    </w:rPr>
  </w:style>
  <w:style w:type="paragraph" w:styleId="BodyTextFirstIndent">
    <w:name w:val="Body Text First Indent"/>
    <w:basedOn w:val="BodyText"/>
    <w:semiHidden/>
    <w:rsid w:val="009F7101"/>
    <w:pPr>
      <w:spacing w:after="120"/>
      <w:ind w:firstLine="210"/>
    </w:pPr>
  </w:style>
  <w:style w:type="paragraph" w:styleId="BodyTextIndent">
    <w:name w:val="Body Text Indent"/>
    <w:basedOn w:val="Normal"/>
    <w:semiHidden/>
    <w:rsid w:val="009F7101"/>
    <w:pPr>
      <w:spacing w:after="120"/>
      <w:ind w:left="283"/>
    </w:pPr>
  </w:style>
  <w:style w:type="paragraph" w:styleId="BodyTextFirstIndent2">
    <w:name w:val="Body Text First Indent 2"/>
    <w:basedOn w:val="BodyTextIndent"/>
    <w:semiHidden/>
    <w:rsid w:val="009F7101"/>
    <w:pPr>
      <w:ind w:firstLine="210"/>
    </w:pPr>
  </w:style>
  <w:style w:type="paragraph" w:styleId="BodyTextIndent2">
    <w:name w:val="Body Text Indent 2"/>
    <w:basedOn w:val="Normal"/>
    <w:semiHidden/>
    <w:rsid w:val="009F7101"/>
    <w:pPr>
      <w:spacing w:after="120" w:line="480" w:lineRule="auto"/>
      <w:ind w:left="283"/>
    </w:pPr>
  </w:style>
  <w:style w:type="paragraph" w:styleId="BodyTextIndent3">
    <w:name w:val="Body Text Indent 3"/>
    <w:basedOn w:val="Normal"/>
    <w:semiHidden/>
    <w:rsid w:val="009F7101"/>
    <w:pPr>
      <w:spacing w:after="120"/>
      <w:ind w:left="283"/>
    </w:pPr>
    <w:rPr>
      <w:sz w:val="16"/>
      <w:szCs w:val="16"/>
    </w:rPr>
  </w:style>
  <w:style w:type="character" w:customStyle="1" w:styleId="HeaderChar">
    <w:name w:val="Header Char"/>
    <w:basedOn w:val="DefaultParagraphFont"/>
    <w:link w:val="Header"/>
    <w:rsid w:val="00F679F9"/>
    <w:rPr>
      <w:rFonts w:ascii="Arial" w:hAnsi="Arial"/>
      <w:lang w:eastAsia="en-US"/>
    </w:rPr>
  </w:style>
  <w:style w:type="paragraph" w:customStyle="1" w:styleId="AddressFooter">
    <w:name w:val="Address_Footer"/>
    <w:basedOn w:val="Header"/>
    <w:qFormat/>
    <w:rsid w:val="00F679F9"/>
    <w:pPr>
      <w:spacing w:line="160" w:lineRule="atLeast"/>
    </w:pPr>
    <w:rPr>
      <w:rFonts w:ascii="GillSans" w:hAnsi="GillSans"/>
      <w:sz w:val="14"/>
    </w:rPr>
  </w:style>
  <w:style w:type="paragraph" w:customStyle="1" w:styleId="PrecInstructionNumber">
    <w:name w:val="Prec Instruction Number"/>
    <w:basedOn w:val="Normal"/>
    <w:qFormat/>
    <w:rsid w:val="009F7101"/>
    <w:pPr>
      <w:numPr>
        <w:numId w:val="25"/>
      </w:numPr>
      <w:tabs>
        <w:tab w:val="left" w:pos="851"/>
      </w:tabs>
      <w:spacing w:before="60" w:after="60"/>
    </w:pPr>
    <w:rPr>
      <w:sz w:val="16"/>
    </w:rPr>
  </w:style>
  <w:style w:type="paragraph" w:customStyle="1" w:styleId="TextBox">
    <w:name w:val="TextBox"/>
    <w:basedOn w:val="Normal"/>
    <w:rsid w:val="00F679F9"/>
    <w:pPr>
      <w:spacing w:line="220" w:lineRule="exact"/>
    </w:pPr>
    <w:rPr>
      <w:sz w:val="16"/>
    </w:rPr>
  </w:style>
  <w:style w:type="paragraph" w:customStyle="1" w:styleId="PrecBodyText">
    <w:name w:val="Prec_BodyText"/>
    <w:basedOn w:val="BodyText"/>
    <w:rsid w:val="009F7101"/>
  </w:style>
  <w:style w:type="paragraph" w:customStyle="1" w:styleId="Precheading">
    <w:name w:val="Prec_heading"/>
    <w:basedOn w:val="Normal"/>
    <w:next w:val="BodyText"/>
    <w:rsid w:val="009F7101"/>
    <w:pPr>
      <w:pBdr>
        <w:top w:val="single" w:sz="6" w:space="9" w:color="auto"/>
      </w:pBdr>
      <w:spacing w:before="480" w:after="120"/>
    </w:pPr>
    <w:rPr>
      <w:rFonts w:cs="Arial"/>
      <w:b/>
      <w:bCs/>
      <w:color w:val="0047BB"/>
      <w:sz w:val="28"/>
    </w:rPr>
  </w:style>
  <w:style w:type="paragraph" w:customStyle="1" w:styleId="Prectitle">
    <w:name w:val="Prec__title"/>
    <w:basedOn w:val="Normal"/>
    <w:rsid w:val="009F7101"/>
    <w:pPr>
      <w:ind w:right="2552"/>
    </w:pPr>
    <w:rPr>
      <w:rFonts w:cs="Arial"/>
      <w:b/>
      <w:bCs/>
      <w:color w:val="0047BB"/>
      <w:sz w:val="36"/>
    </w:rPr>
  </w:style>
  <w:style w:type="paragraph" w:customStyle="1" w:styleId="PrecCoverListBullet">
    <w:name w:val="Prec Cover List Bullet"/>
    <w:basedOn w:val="ListBullet"/>
    <w:qFormat/>
    <w:rsid w:val="009F7101"/>
    <w:pPr>
      <w:numPr>
        <w:numId w:val="24"/>
      </w:numPr>
    </w:pPr>
  </w:style>
  <w:style w:type="paragraph" w:customStyle="1" w:styleId="PrecCoverListBullet2">
    <w:name w:val="Prec Cover List Bullet 2"/>
    <w:basedOn w:val="PrecCoverListBullet"/>
    <w:qFormat/>
    <w:rsid w:val="009F7101"/>
    <w:pPr>
      <w:numPr>
        <w:ilvl w:val="1"/>
      </w:numPr>
    </w:pPr>
  </w:style>
  <w:style w:type="paragraph" w:customStyle="1" w:styleId="Instruction">
    <w:name w:val="Instruction"/>
    <w:basedOn w:val="Normal"/>
    <w:qFormat/>
    <w:rsid w:val="009F7101"/>
    <w:pPr>
      <w:spacing w:before="60" w:after="60"/>
    </w:pPr>
    <w:rPr>
      <w:sz w:val="16"/>
    </w:rPr>
  </w:style>
  <w:style w:type="paragraph" w:customStyle="1" w:styleId="Instruction-Information">
    <w:name w:val="Instruction - Information"/>
    <w:basedOn w:val="Normal"/>
    <w:rsid w:val="00F679F9"/>
    <w:pPr>
      <w:spacing w:before="60" w:after="60" w:line="200" w:lineRule="atLeast"/>
    </w:pPr>
    <w:rPr>
      <w:sz w:val="16"/>
    </w:rPr>
  </w:style>
  <w:style w:type="paragraph" w:customStyle="1" w:styleId="Instruction-Optional">
    <w:name w:val="Instruction - Optional"/>
    <w:basedOn w:val="Normal"/>
    <w:rsid w:val="00F679F9"/>
    <w:pPr>
      <w:spacing w:before="60" w:after="60" w:line="200" w:lineRule="atLeast"/>
    </w:pPr>
    <w:rPr>
      <w:sz w:val="16"/>
    </w:rPr>
  </w:style>
  <w:style w:type="paragraph" w:customStyle="1" w:styleId="Instruction-OptionalEnd">
    <w:name w:val="Instruction - OptionalEnd"/>
    <w:basedOn w:val="Normal"/>
    <w:rsid w:val="00F679F9"/>
    <w:pPr>
      <w:spacing w:before="60" w:after="60" w:line="200" w:lineRule="atLeast"/>
    </w:pPr>
    <w:rPr>
      <w:sz w:val="16"/>
    </w:rPr>
  </w:style>
  <w:style w:type="paragraph" w:customStyle="1" w:styleId="Heading1A">
    <w:name w:val="Heading 1A"/>
    <w:basedOn w:val="Heading1"/>
    <w:next w:val="BodyText"/>
    <w:qFormat/>
    <w:rsid w:val="00F679F9"/>
    <w:pPr>
      <w:numPr>
        <w:numId w:val="0"/>
      </w:numPr>
      <w:tabs>
        <w:tab w:val="num" w:pos="567"/>
      </w:tabs>
      <w:ind w:left="567" w:hanging="567"/>
    </w:pPr>
  </w:style>
  <w:style w:type="paragraph" w:customStyle="1" w:styleId="Heading2A">
    <w:name w:val="Heading 2A"/>
    <w:basedOn w:val="Heading2"/>
    <w:next w:val="BodyText"/>
    <w:qFormat/>
    <w:rsid w:val="00F679F9"/>
    <w:pPr>
      <w:numPr>
        <w:ilvl w:val="0"/>
        <w:numId w:val="0"/>
      </w:numPr>
      <w:tabs>
        <w:tab w:val="num" w:pos="567"/>
      </w:tabs>
      <w:ind w:left="1134" w:hanging="567"/>
    </w:pPr>
  </w:style>
  <w:style w:type="paragraph" w:customStyle="1" w:styleId="Heading6A">
    <w:name w:val="Heading 6A"/>
    <w:basedOn w:val="Heading1"/>
    <w:next w:val="BodyText"/>
    <w:qFormat/>
    <w:rsid w:val="00F679F9"/>
    <w:pPr>
      <w:numPr>
        <w:ilvl w:val="6"/>
        <w:numId w:val="28"/>
      </w:numPr>
      <w:tabs>
        <w:tab w:val="left" w:pos="2268"/>
      </w:tabs>
    </w:pPr>
  </w:style>
  <w:style w:type="paragraph" w:customStyle="1" w:styleId="Heading3A">
    <w:name w:val="Heading 3A"/>
    <w:basedOn w:val="Heading3"/>
    <w:qFormat/>
    <w:rsid w:val="00F679F9"/>
    <w:pPr>
      <w:numPr>
        <w:ilvl w:val="0"/>
        <w:numId w:val="0"/>
      </w:numPr>
      <w:tabs>
        <w:tab w:val="num" w:pos="567"/>
      </w:tabs>
      <w:ind w:left="1134" w:hanging="1134"/>
    </w:pPr>
  </w:style>
  <w:style w:type="paragraph" w:customStyle="1" w:styleId="Heading3aa">
    <w:name w:val="Heading 3 aa"/>
    <w:basedOn w:val="BodyText"/>
    <w:qFormat/>
    <w:rsid w:val="00F679F9"/>
    <w:pPr>
      <w:tabs>
        <w:tab w:val="num" w:pos="567"/>
      </w:tabs>
      <w:ind w:left="567" w:hanging="567"/>
    </w:pPr>
  </w:style>
  <w:style w:type="paragraph" w:customStyle="1" w:styleId="Sch1A">
    <w:name w:val="Sch 1A"/>
    <w:basedOn w:val="Sch1"/>
    <w:qFormat/>
    <w:rsid w:val="00F679F9"/>
    <w:pPr>
      <w:numPr>
        <w:ilvl w:val="7"/>
      </w:numPr>
    </w:pPr>
  </w:style>
  <w:style w:type="paragraph" w:customStyle="1" w:styleId="Sch2A">
    <w:name w:val="Sch 2A"/>
    <w:basedOn w:val="Sch2"/>
    <w:next w:val="BodyText"/>
    <w:qFormat/>
    <w:rsid w:val="00F679F9"/>
    <w:pPr>
      <w:numPr>
        <w:ilvl w:val="8"/>
      </w:numPr>
    </w:pPr>
  </w:style>
  <w:style w:type="paragraph" w:customStyle="1" w:styleId="Sch3A">
    <w:name w:val="Sch 3A"/>
    <w:basedOn w:val="Sch3"/>
    <w:qFormat/>
    <w:rsid w:val="00F679F9"/>
    <w:pPr>
      <w:numPr>
        <w:ilvl w:val="0"/>
        <w:numId w:val="0"/>
      </w:numPr>
    </w:pPr>
  </w:style>
  <w:style w:type="paragraph" w:customStyle="1" w:styleId="Sch4A">
    <w:name w:val="Sch 4A"/>
    <w:basedOn w:val="Sch4"/>
    <w:qFormat/>
    <w:rsid w:val="00F679F9"/>
    <w:pPr>
      <w:numPr>
        <w:ilvl w:val="0"/>
        <w:numId w:val="0"/>
      </w:numPr>
    </w:pPr>
  </w:style>
  <w:style w:type="paragraph" w:customStyle="1" w:styleId="Sch5A">
    <w:name w:val="Sch 5A"/>
    <w:basedOn w:val="Sch5"/>
    <w:qFormat/>
    <w:rsid w:val="00F679F9"/>
    <w:pPr>
      <w:numPr>
        <w:ilvl w:val="0"/>
        <w:numId w:val="0"/>
      </w:numPr>
    </w:pPr>
  </w:style>
  <w:style w:type="paragraph" w:customStyle="1" w:styleId="SchTitleHeading">
    <w:name w:val="Sch Title Heading"/>
    <w:basedOn w:val="Heading1"/>
    <w:next w:val="BodyText"/>
    <w:qFormat/>
    <w:rsid w:val="00F679F9"/>
    <w:pPr>
      <w:numPr>
        <w:numId w:val="0"/>
      </w:numPr>
      <w:tabs>
        <w:tab w:val="num" w:pos="2410"/>
      </w:tabs>
      <w:ind w:firstLine="567"/>
    </w:pPr>
  </w:style>
  <w:style w:type="paragraph" w:styleId="Footer">
    <w:name w:val="footer"/>
    <w:basedOn w:val="Normal"/>
    <w:link w:val="FooterChar"/>
    <w:rsid w:val="009F7101"/>
    <w:pPr>
      <w:tabs>
        <w:tab w:val="center" w:pos="4153"/>
        <w:tab w:val="right" w:pos="8306"/>
      </w:tabs>
    </w:pPr>
    <w:rPr>
      <w:sz w:val="14"/>
    </w:rPr>
  </w:style>
  <w:style w:type="character" w:customStyle="1" w:styleId="FooterChar">
    <w:name w:val="Footer Char"/>
    <w:basedOn w:val="DefaultParagraphFont"/>
    <w:link w:val="Footer"/>
    <w:rsid w:val="00F679F9"/>
    <w:rPr>
      <w:rFonts w:ascii="Arial" w:hAnsi="Arial"/>
      <w:sz w:val="14"/>
      <w:lang w:eastAsia="en-US"/>
    </w:rPr>
  </w:style>
  <w:style w:type="paragraph" w:customStyle="1" w:styleId="xFooter">
    <w:name w:val="xFooter"/>
    <w:basedOn w:val="Normal"/>
    <w:qFormat/>
    <w:rsid w:val="009F7101"/>
    <w:pPr>
      <w:tabs>
        <w:tab w:val="right" w:pos="9072"/>
      </w:tabs>
      <w:spacing w:before="120" w:after="120"/>
      <w:ind w:left="-113"/>
    </w:pPr>
    <w:rPr>
      <w:sz w:val="14"/>
    </w:rPr>
  </w:style>
  <w:style w:type="character" w:customStyle="1" w:styleId="DeedPartiesChar">
    <w:name w:val="Deed_Parties Char"/>
    <w:link w:val="DeedParties"/>
    <w:rsid w:val="00E6352D"/>
    <w:rPr>
      <w:rFonts w:ascii="Arial" w:hAnsi="Arial"/>
      <w:lang w:eastAsia="en-US"/>
    </w:rPr>
  </w:style>
  <w:style w:type="character" w:customStyle="1" w:styleId="Sch3Char">
    <w:name w:val="Sch 3 Char"/>
    <w:link w:val="Sch3"/>
    <w:rsid w:val="00515EC3"/>
    <w:rPr>
      <w:rFonts w:ascii="Arial" w:hAnsi="Arial"/>
      <w:color w:val="000000"/>
      <w:lang w:eastAsia="en-US"/>
    </w:rPr>
  </w:style>
  <w:style w:type="character" w:customStyle="1" w:styleId="Sch4Char">
    <w:name w:val="Sch 4 Char"/>
    <w:link w:val="Sch4"/>
    <w:rsid w:val="00515EC3"/>
    <w:rPr>
      <w:rFonts w:ascii="Arial" w:hAnsi="Arial"/>
      <w:lang w:eastAsia="en-US"/>
    </w:rPr>
  </w:style>
  <w:style w:type="paragraph" w:customStyle="1" w:styleId="GHdg1">
    <w:name w:val="G Hdg 1"/>
    <w:basedOn w:val="Normal"/>
    <w:next w:val="BodyText"/>
    <w:qFormat/>
    <w:locked/>
    <w:rsid w:val="00D237C4"/>
    <w:pPr>
      <w:keepNext/>
      <w:numPr>
        <w:numId w:val="1"/>
      </w:numPr>
      <w:pBdr>
        <w:bottom w:val="single" w:sz="8" w:space="4" w:color="auto"/>
      </w:pBdr>
      <w:spacing w:before="240" w:after="160" w:line="240" w:lineRule="auto"/>
      <w:outlineLvl w:val="0"/>
    </w:pPr>
    <w:rPr>
      <w:rFonts w:eastAsia="Arial" w:cs="Arial"/>
      <w:sz w:val="22"/>
      <w:szCs w:val="28"/>
      <w:lang w:eastAsia="en-AU"/>
    </w:rPr>
  </w:style>
  <w:style w:type="paragraph" w:customStyle="1" w:styleId="GHdg2">
    <w:name w:val="G Hdg 2"/>
    <w:basedOn w:val="Normal"/>
    <w:next w:val="BodyText"/>
    <w:qFormat/>
    <w:locked/>
    <w:rsid w:val="00D237C4"/>
    <w:pPr>
      <w:keepNext/>
      <w:numPr>
        <w:ilvl w:val="1"/>
        <w:numId w:val="1"/>
      </w:numPr>
      <w:spacing w:before="120" w:after="120" w:line="240" w:lineRule="auto"/>
      <w:outlineLvl w:val="1"/>
    </w:pPr>
    <w:rPr>
      <w:rFonts w:eastAsia="Arial" w:cs="Arial"/>
      <w:sz w:val="18"/>
      <w:szCs w:val="24"/>
      <w:lang w:eastAsia="en-AU"/>
    </w:rPr>
  </w:style>
  <w:style w:type="paragraph" w:customStyle="1" w:styleId="GHdg3">
    <w:name w:val="G Hdg 3"/>
    <w:basedOn w:val="Normal"/>
    <w:next w:val="BodyTextIndent"/>
    <w:qFormat/>
    <w:locked/>
    <w:rsid w:val="00D237C4"/>
    <w:pPr>
      <w:numPr>
        <w:ilvl w:val="2"/>
        <w:numId w:val="1"/>
      </w:numPr>
      <w:spacing w:before="120" w:after="120" w:line="240" w:lineRule="auto"/>
      <w:outlineLvl w:val="2"/>
    </w:pPr>
    <w:rPr>
      <w:rFonts w:eastAsia="Arial" w:cs="Arial"/>
      <w:sz w:val="18"/>
      <w:lang w:eastAsia="en-AU"/>
    </w:rPr>
  </w:style>
  <w:style w:type="paragraph" w:customStyle="1" w:styleId="GHdg4">
    <w:name w:val="G Hdg 4"/>
    <w:basedOn w:val="Normal"/>
    <w:next w:val="BodyTextIndent2"/>
    <w:qFormat/>
    <w:locked/>
    <w:rsid w:val="00D237C4"/>
    <w:pPr>
      <w:numPr>
        <w:ilvl w:val="3"/>
        <w:numId w:val="1"/>
      </w:numPr>
      <w:spacing w:before="120" w:after="120" w:line="240" w:lineRule="auto"/>
      <w:outlineLvl w:val="3"/>
    </w:pPr>
    <w:rPr>
      <w:rFonts w:eastAsia="Arial" w:cs="Arial"/>
      <w:sz w:val="18"/>
      <w:lang w:eastAsia="en-AU"/>
    </w:rPr>
  </w:style>
  <w:style w:type="numbering" w:customStyle="1" w:styleId="GHdgNumbering">
    <w:name w:val="GHdgNumbering"/>
    <w:rsid w:val="00D237C4"/>
    <w:pPr>
      <w:numPr>
        <w:numId w:val="2"/>
      </w:numPr>
    </w:pPr>
  </w:style>
  <w:style w:type="paragraph" w:styleId="ListParagraph">
    <w:name w:val="List Paragraph"/>
    <w:basedOn w:val="Normal"/>
    <w:uiPriority w:val="34"/>
    <w:qFormat/>
    <w:rsid w:val="00D83138"/>
    <w:pPr>
      <w:widowControl w:val="0"/>
      <w:spacing w:line="240" w:lineRule="auto"/>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D83138"/>
    <w:pPr>
      <w:widowControl w:val="0"/>
      <w:spacing w:line="240" w:lineRule="auto"/>
    </w:pPr>
    <w:rPr>
      <w:rFonts w:asciiTheme="minorHAnsi" w:eastAsiaTheme="minorHAnsi" w:hAnsiTheme="minorHAnsi" w:cstheme="minorBidi"/>
      <w:sz w:val="22"/>
      <w:szCs w:val="22"/>
      <w:lang w:val="en-US"/>
    </w:rPr>
  </w:style>
  <w:style w:type="character" w:customStyle="1" w:styleId="BalloonTextChar">
    <w:name w:val="Balloon Text Char"/>
    <w:basedOn w:val="DefaultParagraphFont"/>
    <w:link w:val="BalloonText"/>
    <w:semiHidden/>
    <w:rsid w:val="00D83138"/>
    <w:rPr>
      <w:rFonts w:ascii="Tahoma" w:hAnsi="Tahoma" w:cs="Tahoma"/>
      <w:sz w:val="16"/>
      <w:szCs w:val="16"/>
      <w:lang w:eastAsia="en-US"/>
    </w:rPr>
  </w:style>
  <w:style w:type="paragraph" w:customStyle="1" w:styleId="BodyTextCore">
    <w:name w:val="Body Text Core&amp;"/>
    <w:link w:val="BodyTextCoreChar"/>
    <w:uiPriority w:val="6"/>
    <w:rsid w:val="00D04505"/>
    <w:pPr>
      <w:spacing w:beforeLines="50" w:before="120" w:after="120" w:line="300" w:lineRule="exact"/>
    </w:pPr>
    <w:rPr>
      <w:rFonts w:ascii="Arial" w:hAnsi="Arial"/>
      <w:sz w:val="22"/>
      <w:szCs w:val="24"/>
      <w:lang w:eastAsia="en-US"/>
    </w:rPr>
  </w:style>
  <w:style w:type="character" w:customStyle="1" w:styleId="BodyTextCoreChar">
    <w:name w:val="Body Text Core&amp; Char"/>
    <w:link w:val="BodyTextCore"/>
    <w:uiPriority w:val="6"/>
    <w:rsid w:val="00D04505"/>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D02B01"/>
    <w:rPr>
      <w:color w:val="808080"/>
      <w:shd w:val="clear" w:color="auto" w:fill="E6E6E6"/>
    </w:rPr>
  </w:style>
  <w:style w:type="paragraph" w:customStyle="1" w:styleId="DFSIFooter">
    <w:name w:val="DFSI Footer"/>
    <w:link w:val="DFSIFooterChar"/>
    <w:uiPriority w:val="99"/>
    <w:qFormat/>
    <w:rsid w:val="00ED1893"/>
    <w:pPr>
      <w:pBdr>
        <w:top w:val="single" w:sz="6" w:space="5" w:color="003E7E"/>
      </w:pBdr>
      <w:tabs>
        <w:tab w:val="right" w:pos="9639"/>
      </w:tabs>
    </w:pPr>
    <w:rPr>
      <w:rFonts w:ascii="Arial" w:hAnsi="Arial" w:cs="Arial"/>
      <w:sz w:val="16"/>
      <w:szCs w:val="16"/>
    </w:rPr>
  </w:style>
  <w:style w:type="character" w:customStyle="1" w:styleId="DFSIFooterChar">
    <w:name w:val="DFSI Footer Char"/>
    <w:link w:val="DFSIFooter"/>
    <w:uiPriority w:val="99"/>
    <w:rsid w:val="00ED1893"/>
    <w:rPr>
      <w:rFonts w:ascii="Arial" w:hAnsi="Arial" w:cs="Arial"/>
      <w:sz w:val="16"/>
      <w:szCs w:val="16"/>
    </w:rPr>
  </w:style>
  <w:style w:type="paragraph" w:customStyle="1" w:styleId="Default">
    <w:name w:val="Default"/>
    <w:rsid w:val="00036E8C"/>
    <w:pPr>
      <w:autoSpaceDE w:val="0"/>
      <w:autoSpaceDN w:val="0"/>
      <w:adjustRightInd w:val="0"/>
    </w:pPr>
    <w:rPr>
      <w:rFonts w:ascii="Arial" w:hAnsi="Arial" w:cs="Arial"/>
      <w:color w:val="000000"/>
      <w:sz w:val="24"/>
      <w:szCs w:val="24"/>
    </w:rPr>
  </w:style>
  <w:style w:type="paragraph" w:customStyle="1" w:styleId="Body">
    <w:name w:val="Body"/>
    <w:basedOn w:val="Normal"/>
    <w:semiHidden/>
    <w:rsid w:val="009F7101"/>
    <w:pPr>
      <w:spacing w:after="240"/>
    </w:pPr>
  </w:style>
  <w:style w:type="paragraph" w:styleId="Salutation">
    <w:name w:val="Salutation"/>
    <w:basedOn w:val="Normal"/>
    <w:next w:val="Normal"/>
    <w:link w:val="SalutationChar"/>
    <w:semiHidden/>
    <w:rsid w:val="009F7101"/>
  </w:style>
  <w:style w:type="character" w:customStyle="1" w:styleId="SalutationChar">
    <w:name w:val="Salutation Char"/>
    <w:basedOn w:val="DefaultParagraphFont"/>
    <w:link w:val="Salutation"/>
    <w:semiHidden/>
    <w:rsid w:val="007871CB"/>
    <w:rPr>
      <w:rFonts w:ascii="Arial" w:hAnsi="Arial"/>
      <w:lang w:eastAsia="en-US"/>
    </w:rPr>
  </w:style>
  <w:style w:type="paragraph" w:customStyle="1" w:styleId="PrecListNumber">
    <w:name w:val="Prec List Number"/>
    <w:basedOn w:val="ListNumber"/>
    <w:qFormat/>
    <w:rsid w:val="009F7101"/>
    <w:pPr>
      <w:numPr>
        <w:numId w:val="5"/>
      </w:numPr>
      <w:spacing w:before="60" w:after="60"/>
    </w:pPr>
    <w:rPr>
      <w:sz w:val="16"/>
      <w:szCs w:val="16"/>
    </w:rPr>
  </w:style>
  <w:style w:type="paragraph" w:customStyle="1" w:styleId="PrecListNumber2">
    <w:name w:val="Prec List Number 2"/>
    <w:basedOn w:val="ListNumber"/>
    <w:qFormat/>
    <w:rsid w:val="009F7101"/>
    <w:pPr>
      <w:numPr>
        <w:numId w:val="0"/>
      </w:numPr>
      <w:tabs>
        <w:tab w:val="num" w:pos="1134"/>
      </w:tabs>
      <w:spacing w:before="60" w:after="60"/>
      <w:ind w:left="1134" w:hanging="567"/>
    </w:pPr>
    <w:rPr>
      <w:sz w:val="16"/>
      <w:szCs w:val="16"/>
    </w:rPr>
  </w:style>
  <w:style w:type="character" w:customStyle="1" w:styleId="CommentTextChar">
    <w:name w:val="Comment Text Char"/>
    <w:basedOn w:val="DefaultParagraphFont"/>
    <w:link w:val="CommentText"/>
    <w:rsid w:val="00921D8A"/>
    <w:rPr>
      <w:rFonts w:ascii="Arial" w:hAnsi="Arial"/>
      <w:lang w:eastAsia="en-US"/>
    </w:rPr>
  </w:style>
  <w:style w:type="table" w:customStyle="1" w:styleId="TableGrid10">
    <w:name w:val="Table Grid1"/>
    <w:basedOn w:val="TableNormal"/>
    <w:next w:val="TableGrid"/>
    <w:rsid w:val="009C5013"/>
    <w:pPr>
      <w:spacing w:before="120" w:after="120" w:line="240" w:lineRule="atLeast"/>
    </w:pPr>
    <w:rPr>
      <w:rFonts w:ascii="Arial" w:hAnsi="Arial"/>
    </w:rPr>
    <w:tblPr>
      <w:tblCellMar>
        <w:right w:w="85" w:type="dxa"/>
      </w:tblCellMar>
    </w:tblPr>
  </w:style>
  <w:style w:type="character" w:customStyle="1" w:styleId="Heading3Char">
    <w:name w:val="Heading 3 Char"/>
    <w:aliases w:val="H3 Char,h3 Char,(a) Char"/>
    <w:basedOn w:val="DefaultParagraphFont"/>
    <w:link w:val="Heading3"/>
    <w:rsid w:val="002F2129"/>
    <w:rPr>
      <w:rFonts w:ascii="Arial" w:hAnsi="Arial"/>
      <w:color w:val="000000"/>
      <w:lang w:eastAsia="en-US"/>
    </w:rPr>
  </w:style>
  <w:style w:type="character" w:customStyle="1" w:styleId="BodyTextChar">
    <w:name w:val="Body Text Char"/>
    <w:basedOn w:val="DefaultParagraphFont"/>
    <w:link w:val="BodyText"/>
    <w:rsid w:val="00045CB1"/>
    <w:rPr>
      <w:rFonts w:ascii="Arial" w:hAnsi="Arial"/>
      <w:lang w:eastAsia="en-US"/>
    </w:rPr>
  </w:style>
  <w:style w:type="character" w:customStyle="1" w:styleId="Heading4Char">
    <w:name w:val="Heading 4 Char"/>
    <w:aliases w:val="h4 Char,Heading 4 Char1 Char Char,Heading 4 Char Char1 Char Char,Heading 4 Char1 Char Char Char Char,Heading 4 Char Char1 Char Char Char Char,Heading 4 Char1 Char Char Char Char Char Char,Heading 4 Char Char1 Char Char Char Char Char Char"/>
    <w:basedOn w:val="DefaultParagraphFont"/>
    <w:link w:val="Heading4"/>
    <w:rsid w:val="002D4366"/>
    <w:rPr>
      <w:rFonts w:ascii="Arial" w:hAnsi="Arial"/>
      <w:lang w:eastAsia="en-US"/>
    </w:rPr>
  </w:style>
  <w:style w:type="character" w:customStyle="1" w:styleId="e24kjd">
    <w:name w:val="e24kjd"/>
    <w:basedOn w:val="DefaultParagraphFont"/>
    <w:rsid w:val="000976FA"/>
  </w:style>
  <w:style w:type="paragraph" w:styleId="Revision">
    <w:name w:val="Revision"/>
    <w:hidden/>
    <w:uiPriority w:val="99"/>
    <w:semiHidden/>
    <w:rsid w:val="000B5DFD"/>
    <w:rPr>
      <w:rFonts w:ascii="Arial" w:hAnsi="Arial"/>
      <w:lang w:eastAsia="en-US"/>
    </w:rPr>
  </w:style>
  <w:style w:type="paragraph" w:customStyle="1" w:styleId="TableNumbered">
    <w:name w:val="Table Numbered"/>
    <w:basedOn w:val="Normal"/>
    <w:uiPriority w:val="99"/>
    <w:rsid w:val="00131F3E"/>
    <w:pPr>
      <w:numPr>
        <w:numId w:val="29"/>
      </w:numPr>
      <w:spacing w:after="60" w:line="240" w:lineRule="auto"/>
    </w:pPr>
    <w:rPr>
      <w:color w:val="000000"/>
      <w:szCs w:val="24"/>
    </w:rPr>
  </w:style>
  <w:style w:type="paragraph" w:customStyle="1" w:styleId="RetSch2">
    <w:name w:val="RetSch2"/>
    <w:basedOn w:val="Normal"/>
    <w:uiPriority w:val="99"/>
    <w:rsid w:val="00131F3E"/>
    <w:pPr>
      <w:numPr>
        <w:ilvl w:val="1"/>
        <w:numId w:val="29"/>
      </w:numPr>
      <w:spacing w:line="240" w:lineRule="auto"/>
    </w:pPr>
    <w:rPr>
      <w:rFonts w:ascii="Times New Roman" w:hAnsi="Times New Roman"/>
      <w:color w:val="000000"/>
      <w:sz w:val="24"/>
      <w:szCs w:val="24"/>
    </w:rPr>
  </w:style>
  <w:style w:type="paragraph" w:customStyle="1" w:styleId="TableBullet">
    <w:name w:val="Table Bullet"/>
    <w:uiPriority w:val="40"/>
    <w:qFormat/>
    <w:rsid w:val="00131F3E"/>
    <w:pPr>
      <w:numPr>
        <w:numId w:val="30"/>
      </w:numPr>
      <w:spacing w:before="120" w:after="120"/>
    </w:pPr>
    <w:rPr>
      <w:rFonts w:ascii="Helvetica" w:hAnsi="Helvetica"/>
      <w:lang w:eastAsia="en-US"/>
    </w:rPr>
  </w:style>
  <w:style w:type="paragraph" w:customStyle="1" w:styleId="TableBullet2">
    <w:name w:val="TableBullet2"/>
    <w:basedOn w:val="TableBullet"/>
    <w:uiPriority w:val="38"/>
    <w:qFormat/>
    <w:rsid w:val="00131F3E"/>
    <w:pPr>
      <w:numPr>
        <w:ilvl w:val="1"/>
      </w:numPr>
    </w:pPr>
  </w:style>
  <w:style w:type="paragraph" w:customStyle="1" w:styleId="Section2Bullet1">
    <w:name w:val="Section 2 Bullet 1"/>
    <w:basedOn w:val="Normal"/>
    <w:rsid w:val="008E794B"/>
    <w:pPr>
      <w:numPr>
        <w:numId w:val="32"/>
      </w:numPr>
      <w:spacing w:line="240" w:lineRule="auto"/>
    </w:pPr>
    <w:rPr>
      <w:rFonts w:ascii="Times New Roman" w:hAnsi="Times New Roman"/>
      <w:sz w:val="24"/>
      <w:szCs w:val="24"/>
    </w:rPr>
  </w:style>
  <w:style w:type="paragraph" w:customStyle="1" w:styleId="DraftNumber">
    <w:name w:val="Draft Number"/>
    <w:basedOn w:val="Normal"/>
    <w:next w:val="Normal"/>
    <w:uiPriority w:val="99"/>
    <w:semiHidden/>
    <w:locked/>
    <w:rsid w:val="00BD0549"/>
    <w:pPr>
      <w:spacing w:line="240" w:lineRule="auto"/>
      <w:jc w:val="right"/>
    </w:pPr>
    <w:rPr>
      <w:rFonts w:ascii="Times New Roman" w:hAnsi="Times New Roman"/>
      <w:sz w:val="22"/>
      <w:szCs w:val="24"/>
    </w:rPr>
  </w:style>
  <w:style w:type="paragraph" w:customStyle="1" w:styleId="Clause1">
    <w:name w:val="Clause1"/>
    <w:basedOn w:val="Heading2"/>
    <w:next w:val="NoSpacing"/>
    <w:uiPriority w:val="99"/>
    <w:qFormat/>
    <w:rsid w:val="007066EF"/>
    <w:pPr>
      <w:numPr>
        <w:ilvl w:val="0"/>
        <w:numId w:val="46"/>
      </w:numPr>
      <w:pBdr>
        <w:bottom w:val="single" w:sz="8" w:space="3" w:color="C0C0C0"/>
      </w:pBdr>
      <w:spacing w:before="240" w:after="120" w:line="240" w:lineRule="auto"/>
      <w:jc w:val="both"/>
    </w:pPr>
    <w:rPr>
      <w:color w:val="403152"/>
      <w:sz w:val="24"/>
    </w:rPr>
  </w:style>
  <w:style w:type="paragraph" w:customStyle="1" w:styleId="Clause2">
    <w:name w:val="Clause2"/>
    <w:basedOn w:val="Normal"/>
    <w:link w:val="Clause2Char"/>
    <w:uiPriority w:val="99"/>
    <w:qFormat/>
    <w:rsid w:val="007066EF"/>
    <w:pPr>
      <w:keepNext/>
      <w:numPr>
        <w:ilvl w:val="1"/>
        <w:numId w:val="46"/>
      </w:numPr>
      <w:spacing w:before="120" w:after="120" w:line="240" w:lineRule="auto"/>
      <w:jc w:val="both"/>
    </w:pPr>
    <w:rPr>
      <w:sz w:val="22"/>
    </w:rPr>
  </w:style>
  <w:style w:type="paragraph" w:customStyle="1" w:styleId="Clause3">
    <w:name w:val="Clause3"/>
    <w:basedOn w:val="Normal"/>
    <w:uiPriority w:val="99"/>
    <w:qFormat/>
    <w:rsid w:val="007066EF"/>
    <w:pPr>
      <w:numPr>
        <w:ilvl w:val="2"/>
        <w:numId w:val="46"/>
      </w:numPr>
      <w:spacing w:before="120" w:after="120" w:line="240" w:lineRule="auto"/>
      <w:jc w:val="both"/>
    </w:pPr>
    <w:rPr>
      <w:sz w:val="22"/>
    </w:rPr>
  </w:style>
  <w:style w:type="paragraph" w:customStyle="1" w:styleId="Clause4">
    <w:name w:val="Clause4"/>
    <w:basedOn w:val="Normal"/>
    <w:uiPriority w:val="99"/>
    <w:qFormat/>
    <w:rsid w:val="007066EF"/>
    <w:pPr>
      <w:numPr>
        <w:ilvl w:val="4"/>
        <w:numId w:val="46"/>
      </w:numPr>
      <w:spacing w:before="120" w:after="120" w:line="240" w:lineRule="auto"/>
      <w:jc w:val="both"/>
    </w:pPr>
    <w:rPr>
      <w:sz w:val="22"/>
    </w:rPr>
  </w:style>
  <w:style w:type="paragraph" w:customStyle="1" w:styleId="Clause5">
    <w:name w:val="Clause5"/>
    <w:basedOn w:val="Normal"/>
    <w:uiPriority w:val="99"/>
    <w:qFormat/>
    <w:rsid w:val="007066EF"/>
    <w:pPr>
      <w:numPr>
        <w:ilvl w:val="5"/>
        <w:numId w:val="46"/>
      </w:numPr>
      <w:spacing w:before="120" w:after="120" w:line="240" w:lineRule="auto"/>
      <w:jc w:val="both"/>
    </w:pPr>
    <w:rPr>
      <w:sz w:val="22"/>
    </w:rPr>
  </w:style>
  <w:style w:type="paragraph" w:customStyle="1" w:styleId="ClauseNoFormat">
    <w:name w:val="ClauseNoFormat"/>
    <w:basedOn w:val="Normal"/>
    <w:qFormat/>
    <w:rsid w:val="007066EF"/>
    <w:pPr>
      <w:numPr>
        <w:ilvl w:val="3"/>
        <w:numId w:val="46"/>
      </w:numPr>
      <w:spacing w:before="120" w:after="120" w:line="240" w:lineRule="auto"/>
      <w:jc w:val="both"/>
    </w:pPr>
    <w:rPr>
      <w:rFonts w:cs="Arial"/>
      <w:sz w:val="22"/>
    </w:rPr>
  </w:style>
  <w:style w:type="character" w:customStyle="1" w:styleId="Clause2Char">
    <w:name w:val="Clause2 Char"/>
    <w:basedOn w:val="DefaultParagraphFont"/>
    <w:link w:val="Clause2"/>
    <w:uiPriority w:val="99"/>
    <w:locked/>
    <w:rsid w:val="007066EF"/>
    <w:rPr>
      <w:rFonts w:ascii="Arial" w:hAnsi="Arial"/>
      <w:sz w:val="22"/>
      <w:lang w:eastAsia="en-US"/>
    </w:rPr>
  </w:style>
  <w:style w:type="paragraph" w:styleId="NoSpacing">
    <w:name w:val="No Spacing"/>
    <w:uiPriority w:val="1"/>
    <w:semiHidden/>
    <w:qFormat/>
    <w:rsid w:val="007066E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6449">
      <w:bodyDiv w:val="1"/>
      <w:marLeft w:val="0"/>
      <w:marRight w:val="0"/>
      <w:marTop w:val="0"/>
      <w:marBottom w:val="0"/>
      <w:divBdr>
        <w:top w:val="none" w:sz="0" w:space="0" w:color="auto"/>
        <w:left w:val="none" w:sz="0" w:space="0" w:color="auto"/>
        <w:bottom w:val="none" w:sz="0" w:space="0" w:color="auto"/>
        <w:right w:val="none" w:sz="0" w:space="0" w:color="auto"/>
      </w:divBdr>
    </w:div>
    <w:div w:id="85619201">
      <w:bodyDiv w:val="1"/>
      <w:marLeft w:val="0"/>
      <w:marRight w:val="0"/>
      <w:marTop w:val="0"/>
      <w:marBottom w:val="0"/>
      <w:divBdr>
        <w:top w:val="none" w:sz="0" w:space="0" w:color="auto"/>
        <w:left w:val="none" w:sz="0" w:space="0" w:color="auto"/>
        <w:bottom w:val="none" w:sz="0" w:space="0" w:color="auto"/>
        <w:right w:val="none" w:sz="0" w:space="0" w:color="auto"/>
      </w:divBdr>
    </w:div>
    <w:div w:id="128986698">
      <w:bodyDiv w:val="1"/>
      <w:marLeft w:val="0"/>
      <w:marRight w:val="0"/>
      <w:marTop w:val="0"/>
      <w:marBottom w:val="0"/>
      <w:divBdr>
        <w:top w:val="none" w:sz="0" w:space="0" w:color="auto"/>
        <w:left w:val="none" w:sz="0" w:space="0" w:color="auto"/>
        <w:bottom w:val="none" w:sz="0" w:space="0" w:color="auto"/>
        <w:right w:val="none" w:sz="0" w:space="0" w:color="auto"/>
      </w:divBdr>
    </w:div>
    <w:div w:id="217592918">
      <w:bodyDiv w:val="1"/>
      <w:marLeft w:val="0"/>
      <w:marRight w:val="0"/>
      <w:marTop w:val="0"/>
      <w:marBottom w:val="0"/>
      <w:divBdr>
        <w:top w:val="none" w:sz="0" w:space="0" w:color="auto"/>
        <w:left w:val="none" w:sz="0" w:space="0" w:color="auto"/>
        <w:bottom w:val="none" w:sz="0" w:space="0" w:color="auto"/>
        <w:right w:val="none" w:sz="0" w:space="0" w:color="auto"/>
      </w:divBdr>
    </w:div>
    <w:div w:id="330722471">
      <w:bodyDiv w:val="1"/>
      <w:marLeft w:val="0"/>
      <w:marRight w:val="0"/>
      <w:marTop w:val="0"/>
      <w:marBottom w:val="0"/>
      <w:divBdr>
        <w:top w:val="none" w:sz="0" w:space="0" w:color="auto"/>
        <w:left w:val="none" w:sz="0" w:space="0" w:color="auto"/>
        <w:bottom w:val="none" w:sz="0" w:space="0" w:color="auto"/>
        <w:right w:val="none" w:sz="0" w:space="0" w:color="auto"/>
      </w:divBdr>
    </w:div>
    <w:div w:id="384261647">
      <w:bodyDiv w:val="1"/>
      <w:marLeft w:val="0"/>
      <w:marRight w:val="0"/>
      <w:marTop w:val="0"/>
      <w:marBottom w:val="0"/>
      <w:divBdr>
        <w:top w:val="none" w:sz="0" w:space="0" w:color="auto"/>
        <w:left w:val="none" w:sz="0" w:space="0" w:color="auto"/>
        <w:bottom w:val="none" w:sz="0" w:space="0" w:color="auto"/>
        <w:right w:val="none" w:sz="0" w:space="0" w:color="auto"/>
      </w:divBdr>
    </w:div>
    <w:div w:id="630593620">
      <w:bodyDiv w:val="1"/>
      <w:marLeft w:val="0"/>
      <w:marRight w:val="0"/>
      <w:marTop w:val="0"/>
      <w:marBottom w:val="0"/>
      <w:divBdr>
        <w:top w:val="none" w:sz="0" w:space="0" w:color="auto"/>
        <w:left w:val="none" w:sz="0" w:space="0" w:color="auto"/>
        <w:bottom w:val="none" w:sz="0" w:space="0" w:color="auto"/>
        <w:right w:val="none" w:sz="0" w:space="0" w:color="auto"/>
      </w:divBdr>
    </w:div>
    <w:div w:id="729966077">
      <w:bodyDiv w:val="1"/>
      <w:marLeft w:val="0"/>
      <w:marRight w:val="0"/>
      <w:marTop w:val="0"/>
      <w:marBottom w:val="0"/>
      <w:divBdr>
        <w:top w:val="none" w:sz="0" w:space="0" w:color="auto"/>
        <w:left w:val="none" w:sz="0" w:space="0" w:color="auto"/>
        <w:bottom w:val="none" w:sz="0" w:space="0" w:color="auto"/>
        <w:right w:val="none" w:sz="0" w:space="0" w:color="auto"/>
      </w:divBdr>
    </w:div>
    <w:div w:id="745692463">
      <w:bodyDiv w:val="1"/>
      <w:marLeft w:val="0"/>
      <w:marRight w:val="0"/>
      <w:marTop w:val="0"/>
      <w:marBottom w:val="0"/>
      <w:divBdr>
        <w:top w:val="none" w:sz="0" w:space="0" w:color="auto"/>
        <w:left w:val="none" w:sz="0" w:space="0" w:color="auto"/>
        <w:bottom w:val="none" w:sz="0" w:space="0" w:color="auto"/>
        <w:right w:val="none" w:sz="0" w:space="0" w:color="auto"/>
      </w:divBdr>
    </w:div>
    <w:div w:id="746877181">
      <w:bodyDiv w:val="1"/>
      <w:marLeft w:val="0"/>
      <w:marRight w:val="0"/>
      <w:marTop w:val="0"/>
      <w:marBottom w:val="0"/>
      <w:divBdr>
        <w:top w:val="none" w:sz="0" w:space="0" w:color="auto"/>
        <w:left w:val="none" w:sz="0" w:space="0" w:color="auto"/>
        <w:bottom w:val="none" w:sz="0" w:space="0" w:color="auto"/>
        <w:right w:val="none" w:sz="0" w:space="0" w:color="auto"/>
      </w:divBdr>
    </w:div>
    <w:div w:id="1005087446">
      <w:bodyDiv w:val="1"/>
      <w:marLeft w:val="0"/>
      <w:marRight w:val="0"/>
      <w:marTop w:val="0"/>
      <w:marBottom w:val="0"/>
      <w:divBdr>
        <w:top w:val="none" w:sz="0" w:space="0" w:color="auto"/>
        <w:left w:val="none" w:sz="0" w:space="0" w:color="auto"/>
        <w:bottom w:val="none" w:sz="0" w:space="0" w:color="auto"/>
        <w:right w:val="none" w:sz="0" w:space="0" w:color="auto"/>
      </w:divBdr>
    </w:div>
    <w:div w:id="1006176172">
      <w:bodyDiv w:val="1"/>
      <w:marLeft w:val="0"/>
      <w:marRight w:val="0"/>
      <w:marTop w:val="0"/>
      <w:marBottom w:val="0"/>
      <w:divBdr>
        <w:top w:val="none" w:sz="0" w:space="0" w:color="auto"/>
        <w:left w:val="none" w:sz="0" w:space="0" w:color="auto"/>
        <w:bottom w:val="none" w:sz="0" w:space="0" w:color="auto"/>
        <w:right w:val="none" w:sz="0" w:space="0" w:color="auto"/>
      </w:divBdr>
    </w:div>
    <w:div w:id="1077240967">
      <w:bodyDiv w:val="1"/>
      <w:marLeft w:val="0"/>
      <w:marRight w:val="0"/>
      <w:marTop w:val="0"/>
      <w:marBottom w:val="0"/>
      <w:divBdr>
        <w:top w:val="none" w:sz="0" w:space="0" w:color="auto"/>
        <w:left w:val="none" w:sz="0" w:space="0" w:color="auto"/>
        <w:bottom w:val="none" w:sz="0" w:space="0" w:color="auto"/>
        <w:right w:val="none" w:sz="0" w:space="0" w:color="auto"/>
      </w:divBdr>
    </w:div>
    <w:div w:id="1089155335">
      <w:bodyDiv w:val="1"/>
      <w:marLeft w:val="0"/>
      <w:marRight w:val="0"/>
      <w:marTop w:val="0"/>
      <w:marBottom w:val="0"/>
      <w:divBdr>
        <w:top w:val="none" w:sz="0" w:space="0" w:color="auto"/>
        <w:left w:val="none" w:sz="0" w:space="0" w:color="auto"/>
        <w:bottom w:val="none" w:sz="0" w:space="0" w:color="auto"/>
        <w:right w:val="none" w:sz="0" w:space="0" w:color="auto"/>
      </w:divBdr>
    </w:div>
    <w:div w:id="1091270088">
      <w:marLeft w:val="0"/>
      <w:marRight w:val="0"/>
      <w:marTop w:val="0"/>
      <w:marBottom w:val="0"/>
      <w:divBdr>
        <w:top w:val="none" w:sz="0" w:space="0" w:color="auto"/>
        <w:left w:val="none" w:sz="0" w:space="0" w:color="auto"/>
        <w:bottom w:val="none" w:sz="0" w:space="0" w:color="auto"/>
        <w:right w:val="none" w:sz="0" w:space="0" w:color="auto"/>
      </w:divBdr>
    </w:div>
    <w:div w:id="1123890791">
      <w:bodyDiv w:val="1"/>
      <w:marLeft w:val="0"/>
      <w:marRight w:val="0"/>
      <w:marTop w:val="0"/>
      <w:marBottom w:val="0"/>
      <w:divBdr>
        <w:top w:val="none" w:sz="0" w:space="0" w:color="auto"/>
        <w:left w:val="none" w:sz="0" w:space="0" w:color="auto"/>
        <w:bottom w:val="none" w:sz="0" w:space="0" w:color="auto"/>
        <w:right w:val="none" w:sz="0" w:space="0" w:color="auto"/>
      </w:divBdr>
    </w:div>
    <w:div w:id="1136265235">
      <w:bodyDiv w:val="1"/>
      <w:marLeft w:val="0"/>
      <w:marRight w:val="0"/>
      <w:marTop w:val="0"/>
      <w:marBottom w:val="0"/>
      <w:divBdr>
        <w:top w:val="none" w:sz="0" w:space="0" w:color="auto"/>
        <w:left w:val="none" w:sz="0" w:space="0" w:color="auto"/>
        <w:bottom w:val="none" w:sz="0" w:space="0" w:color="auto"/>
        <w:right w:val="none" w:sz="0" w:space="0" w:color="auto"/>
      </w:divBdr>
    </w:div>
    <w:div w:id="1228808461">
      <w:bodyDiv w:val="1"/>
      <w:marLeft w:val="0"/>
      <w:marRight w:val="0"/>
      <w:marTop w:val="0"/>
      <w:marBottom w:val="0"/>
      <w:divBdr>
        <w:top w:val="none" w:sz="0" w:space="0" w:color="auto"/>
        <w:left w:val="none" w:sz="0" w:space="0" w:color="auto"/>
        <w:bottom w:val="none" w:sz="0" w:space="0" w:color="auto"/>
        <w:right w:val="none" w:sz="0" w:space="0" w:color="auto"/>
      </w:divBdr>
    </w:div>
    <w:div w:id="1308433317">
      <w:bodyDiv w:val="1"/>
      <w:marLeft w:val="0"/>
      <w:marRight w:val="0"/>
      <w:marTop w:val="0"/>
      <w:marBottom w:val="0"/>
      <w:divBdr>
        <w:top w:val="none" w:sz="0" w:space="0" w:color="auto"/>
        <w:left w:val="none" w:sz="0" w:space="0" w:color="auto"/>
        <w:bottom w:val="none" w:sz="0" w:space="0" w:color="auto"/>
        <w:right w:val="none" w:sz="0" w:space="0" w:color="auto"/>
      </w:divBdr>
    </w:div>
    <w:div w:id="1317414557">
      <w:bodyDiv w:val="1"/>
      <w:marLeft w:val="0"/>
      <w:marRight w:val="0"/>
      <w:marTop w:val="0"/>
      <w:marBottom w:val="0"/>
      <w:divBdr>
        <w:top w:val="none" w:sz="0" w:space="0" w:color="auto"/>
        <w:left w:val="none" w:sz="0" w:space="0" w:color="auto"/>
        <w:bottom w:val="none" w:sz="0" w:space="0" w:color="auto"/>
        <w:right w:val="none" w:sz="0" w:space="0" w:color="auto"/>
      </w:divBdr>
    </w:div>
    <w:div w:id="1424760815">
      <w:bodyDiv w:val="1"/>
      <w:marLeft w:val="0"/>
      <w:marRight w:val="0"/>
      <w:marTop w:val="0"/>
      <w:marBottom w:val="0"/>
      <w:divBdr>
        <w:top w:val="none" w:sz="0" w:space="0" w:color="auto"/>
        <w:left w:val="none" w:sz="0" w:space="0" w:color="auto"/>
        <w:bottom w:val="none" w:sz="0" w:space="0" w:color="auto"/>
        <w:right w:val="none" w:sz="0" w:space="0" w:color="auto"/>
      </w:divBdr>
    </w:div>
    <w:div w:id="1457679019">
      <w:bodyDiv w:val="1"/>
      <w:marLeft w:val="0"/>
      <w:marRight w:val="0"/>
      <w:marTop w:val="0"/>
      <w:marBottom w:val="0"/>
      <w:divBdr>
        <w:top w:val="none" w:sz="0" w:space="0" w:color="auto"/>
        <w:left w:val="none" w:sz="0" w:space="0" w:color="auto"/>
        <w:bottom w:val="none" w:sz="0" w:space="0" w:color="auto"/>
        <w:right w:val="none" w:sz="0" w:space="0" w:color="auto"/>
      </w:divBdr>
    </w:div>
    <w:div w:id="1494949679">
      <w:bodyDiv w:val="1"/>
      <w:marLeft w:val="0"/>
      <w:marRight w:val="0"/>
      <w:marTop w:val="0"/>
      <w:marBottom w:val="0"/>
      <w:divBdr>
        <w:top w:val="none" w:sz="0" w:space="0" w:color="auto"/>
        <w:left w:val="none" w:sz="0" w:space="0" w:color="auto"/>
        <w:bottom w:val="none" w:sz="0" w:space="0" w:color="auto"/>
        <w:right w:val="none" w:sz="0" w:space="0" w:color="auto"/>
      </w:divBdr>
    </w:div>
    <w:div w:id="1522403064">
      <w:bodyDiv w:val="1"/>
      <w:marLeft w:val="0"/>
      <w:marRight w:val="0"/>
      <w:marTop w:val="0"/>
      <w:marBottom w:val="0"/>
      <w:divBdr>
        <w:top w:val="none" w:sz="0" w:space="0" w:color="auto"/>
        <w:left w:val="none" w:sz="0" w:space="0" w:color="auto"/>
        <w:bottom w:val="none" w:sz="0" w:space="0" w:color="auto"/>
        <w:right w:val="none" w:sz="0" w:space="0" w:color="auto"/>
      </w:divBdr>
    </w:div>
    <w:div w:id="1665932338">
      <w:bodyDiv w:val="1"/>
      <w:marLeft w:val="0"/>
      <w:marRight w:val="0"/>
      <w:marTop w:val="0"/>
      <w:marBottom w:val="0"/>
      <w:divBdr>
        <w:top w:val="none" w:sz="0" w:space="0" w:color="auto"/>
        <w:left w:val="none" w:sz="0" w:space="0" w:color="auto"/>
        <w:bottom w:val="none" w:sz="0" w:space="0" w:color="auto"/>
        <w:right w:val="none" w:sz="0" w:space="0" w:color="auto"/>
      </w:divBdr>
    </w:div>
    <w:div w:id="1897665137">
      <w:bodyDiv w:val="1"/>
      <w:marLeft w:val="0"/>
      <w:marRight w:val="0"/>
      <w:marTop w:val="0"/>
      <w:marBottom w:val="0"/>
      <w:divBdr>
        <w:top w:val="none" w:sz="0" w:space="0" w:color="auto"/>
        <w:left w:val="none" w:sz="0" w:space="0" w:color="auto"/>
        <w:bottom w:val="none" w:sz="0" w:space="0" w:color="auto"/>
        <w:right w:val="none" w:sz="0" w:space="0" w:color="auto"/>
      </w:divBdr>
    </w:div>
    <w:div w:id="1930115793">
      <w:bodyDiv w:val="1"/>
      <w:marLeft w:val="0"/>
      <w:marRight w:val="0"/>
      <w:marTop w:val="0"/>
      <w:marBottom w:val="0"/>
      <w:divBdr>
        <w:top w:val="none" w:sz="0" w:space="0" w:color="auto"/>
        <w:left w:val="none" w:sz="0" w:space="0" w:color="auto"/>
        <w:bottom w:val="none" w:sz="0" w:space="0" w:color="auto"/>
        <w:right w:val="none" w:sz="0" w:space="0" w:color="auto"/>
      </w:divBdr>
    </w:div>
    <w:div w:id="1944993745">
      <w:bodyDiv w:val="1"/>
      <w:marLeft w:val="0"/>
      <w:marRight w:val="0"/>
      <w:marTop w:val="0"/>
      <w:marBottom w:val="0"/>
      <w:divBdr>
        <w:top w:val="none" w:sz="0" w:space="0" w:color="auto"/>
        <w:left w:val="none" w:sz="0" w:space="0" w:color="auto"/>
        <w:bottom w:val="none" w:sz="0" w:space="0" w:color="auto"/>
        <w:right w:val="none" w:sz="0" w:space="0" w:color="auto"/>
      </w:divBdr>
    </w:div>
    <w:div w:id="1999262819">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8989267">
      <w:bodyDiv w:val="1"/>
      <w:marLeft w:val="0"/>
      <w:marRight w:val="0"/>
      <w:marTop w:val="0"/>
      <w:marBottom w:val="0"/>
      <w:divBdr>
        <w:top w:val="none" w:sz="0" w:space="0" w:color="auto"/>
        <w:left w:val="none" w:sz="0" w:space="0" w:color="auto"/>
        <w:bottom w:val="none" w:sz="0" w:space="0" w:color="auto"/>
        <w:right w:val="none" w:sz="0" w:space="0" w:color="auto"/>
      </w:divBdr>
    </w:div>
    <w:div w:id="2130471919">
      <w:bodyDiv w:val="1"/>
      <w:marLeft w:val="0"/>
      <w:marRight w:val="0"/>
      <w:marTop w:val="0"/>
      <w:marBottom w:val="0"/>
      <w:divBdr>
        <w:top w:val="none" w:sz="0" w:space="0" w:color="auto"/>
        <w:left w:val="none" w:sz="0" w:space="0" w:color="auto"/>
        <w:bottom w:val="none" w:sz="0" w:space="0" w:color="auto"/>
        <w:right w:val="none" w:sz="0" w:space="0" w:color="auto"/>
      </w:divBdr>
    </w:div>
    <w:div w:id="213817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curepoint.nsw.gov.au/policy-and-reform/nsw-government-procurement-information"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isputescentre.com.au/commercial-mediation-guidelines-download-form/" TargetMode="External"/><Relationship Id="rId7" Type="http://schemas.openxmlformats.org/officeDocument/2006/relationships/settings" Target="settings.xml"/><Relationship Id="rId12" Type="http://schemas.openxmlformats.org/officeDocument/2006/relationships/hyperlink" Target="https://www.procurepoint.nsw.gov.au/policy-and-reform/nsw-government-procurement-policy-framework"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transport.nsw.gov.au/about-us/who-we-are/culture-and-value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procurepoint.nsw.gov.au"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curepoint.nsw.gov.au/policy-and-reform/goods-and-services-procurement-policies/nsw-government-small-and-medium-enterprise" TargetMode="External"/><Relationship Id="rId22" Type="http://schemas.openxmlformats.org/officeDocument/2006/relationships/hyperlink" Target="https://www.digital.nsw.gov.au/policy/cyber-security/cyber-security-policy" TargetMode="Externa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tyles\2.%20Standard%20Deed_Agree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DFF2E0050551488E40232F57030EF4" ma:contentTypeVersion="2" ma:contentTypeDescription="Create a new document." ma:contentTypeScope="" ma:versionID="4ed5014004ef40bfa55cd6c564e4f8c7">
  <xsd:schema xmlns:xsd="http://www.w3.org/2001/XMLSchema" xmlns:xs="http://www.w3.org/2001/XMLSchema" xmlns:p="http://schemas.microsoft.com/office/2006/metadata/properties" xmlns:ns2="668287de-69f9-489b-9b65-b48d49065107" targetNamespace="http://schemas.microsoft.com/office/2006/metadata/properties" ma:root="true" ma:fieldsID="a55e486ec9eb6c886949deccaac6568d" ns2:_="">
    <xsd:import namespace="668287de-69f9-489b-9b65-b48d490651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87de-69f9-489b-9b65-b48d49065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3980B-C6A2-4929-8171-2156A771DCBD}">
  <ds:schemaRefs>
    <ds:schemaRef ds:uri="http://schemas.microsoft.com/sharepoint/v3/contenttype/forms"/>
  </ds:schemaRefs>
</ds:datastoreItem>
</file>

<file path=customXml/itemProps2.xml><?xml version="1.0" encoding="utf-8"?>
<ds:datastoreItem xmlns:ds="http://schemas.openxmlformats.org/officeDocument/2006/customXml" ds:itemID="{E78B15D7-F33A-4A35-85D6-5FEA2F745CB2}">
  <ds:schemaRefs>
    <ds:schemaRef ds:uri="668287de-69f9-489b-9b65-b48d49065107"/>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B05AF05-56D8-4B31-834A-117CD2365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87de-69f9-489b-9b65-b48d4906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F0768-FFCB-49AB-BD98-639661E2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Standard Deed_Agreement.docx</Template>
  <TotalTime>66</TotalTime>
  <Pages>32</Pages>
  <Words>9988</Words>
  <Characters>52939</Characters>
  <Application>Microsoft Office Word</Application>
  <DocSecurity>0</DocSecurity>
  <Lines>441</Lines>
  <Paragraphs>125</Paragraphs>
  <ScaleCrop>false</ScaleCrop>
  <HeadingPairs>
    <vt:vector size="2" baseType="variant">
      <vt:variant>
        <vt:lpstr>Title</vt:lpstr>
      </vt:variant>
      <vt:variant>
        <vt:i4>1</vt:i4>
      </vt:variant>
    </vt:vector>
  </HeadingPairs>
  <TitlesOfParts>
    <vt:vector size="1" baseType="lpstr">
      <vt:lpstr>Gilbert + Tobin</vt:lpstr>
    </vt:vector>
  </TitlesOfParts>
  <Company>Gilbert + Tobin</Company>
  <LinksUpToDate>false</LinksUpToDate>
  <CharactersWithSpaces>62802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Gilbert + Tobin</dc:title>
  <dc:subject>Deed / Agreement Template</dc:subject>
  <dc:creator>GT User</dc:creator>
  <cp:keywords> </cp:keywords>
  <cp:lastModifiedBy>Simon Vaux</cp:lastModifiedBy>
  <cp:revision>17</cp:revision>
  <cp:lastPrinted>2019-11-15T05:34:00Z</cp:lastPrinted>
  <dcterms:created xsi:type="dcterms:W3CDTF">2019-11-29T01:30:00Z</dcterms:created>
  <dcterms:modified xsi:type="dcterms:W3CDTF">2020-01-28T01:08:00Z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ean">
    <vt:bool>true</vt:bool>
  </property>
  <property fmtid="{D5CDD505-2E9C-101B-9397-08002B2CF9AE}" pid="3" name="DocDraft">
    <vt:bool>true</vt:bool>
  </property>
  <property fmtid="{D5CDD505-2E9C-101B-9397-08002B2CF9AE}" pid="4" name="Schedule">
    <vt:bool>true</vt:bool>
  </property>
  <property fmtid="{D5CDD505-2E9C-101B-9397-08002B2CF9AE}" pid="5" name="Attachment">
    <vt:bool>true</vt:bool>
  </property>
  <property fmtid="{D5CDD505-2E9C-101B-9397-08002B2CF9AE}" pid="6" name="Dictionary">
    <vt:bool>false</vt:bool>
  </property>
  <property fmtid="{D5CDD505-2E9C-101B-9397-08002B2CF9AE}" pid="7" name="DocType">
    <vt:lpwstr>Deed</vt:lpwstr>
  </property>
  <property fmtid="{D5CDD505-2E9C-101B-9397-08002B2CF9AE}" pid="8" name="Part">
    <vt:bool>true</vt:bool>
  </property>
  <property fmtid="{D5CDD505-2E9C-101B-9397-08002B2CF9AE}" pid="9" name="DocumentType">
    <vt:lpwstr>Agreement</vt:lpwstr>
  </property>
  <property fmtid="{D5CDD505-2E9C-101B-9397-08002B2CF9AE}" pid="10" name="Update">
    <vt:lpwstr>Yes</vt:lpwstr>
  </property>
  <property fmtid="{D5CDD505-2E9C-101B-9397-08002B2CF9AE}" pid="11" name="ContentTypeId">
    <vt:lpwstr>0x01010037DFF2E0050551488E40232F57030EF4</vt:lpwstr>
  </property>
</Properties>
</file>