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08" w:type="dxa"/>
        <w:tblLook w:val="01E0" w:firstRow="1" w:lastRow="1" w:firstColumn="1" w:lastColumn="1" w:noHBand="0" w:noVBand="0"/>
      </w:tblPr>
      <w:tblGrid>
        <w:gridCol w:w="9108"/>
      </w:tblGrid>
      <w:tr w:rsidR="004D3FD6" w:rsidRPr="00A23D6D" w14:paraId="312C764B" w14:textId="77777777" w:rsidTr="00A23D6D">
        <w:tc>
          <w:tcPr>
            <w:tcW w:w="9108" w:type="dxa"/>
          </w:tcPr>
          <w:p w14:paraId="445CA4D6" w14:textId="77777777" w:rsidR="004D3FD6" w:rsidRPr="00A23D6D" w:rsidRDefault="0085716F" w:rsidP="00A23D6D">
            <w:pPr>
              <w:jc w:val="center"/>
              <w:rPr>
                <w:rFonts w:ascii="Arial" w:hAnsi="Arial"/>
                <w:b/>
                <w:sz w:val="48"/>
                <w:szCs w:val="48"/>
              </w:rPr>
            </w:pPr>
            <w:r>
              <w:rPr>
                <w:rFonts w:ascii="ProximaNova" w:hAnsi="ProximaNova"/>
                <w:noProof/>
                <w:color w:val="BB1C2C"/>
                <w:lang w:eastAsia="en-AU"/>
              </w:rPr>
              <w:drawing>
                <wp:inline distT="0" distB="0" distL="0" distR="0" wp14:anchorId="58497353" wp14:editId="14DA0BC0">
                  <wp:extent cx="2727960" cy="1135380"/>
                  <wp:effectExtent l="0" t="0" r="0" b="0"/>
                  <wp:docPr id="3" name="Picture 3" descr="Home">
                    <a:hlinkClick xmlns:a="http://schemas.openxmlformats.org/drawingml/2006/main" r:id="rId8"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a:hlinkClick r:id="rId8" tooltip="&quot;Home&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7960" cy="1135380"/>
                          </a:xfrm>
                          <a:prstGeom prst="rect">
                            <a:avLst/>
                          </a:prstGeom>
                          <a:noFill/>
                          <a:ln>
                            <a:noFill/>
                          </a:ln>
                        </pic:spPr>
                      </pic:pic>
                    </a:graphicData>
                  </a:graphic>
                </wp:inline>
              </w:drawing>
            </w:r>
          </w:p>
        </w:tc>
      </w:tr>
      <w:tr w:rsidR="004D3FD6" w:rsidRPr="00A23D6D" w14:paraId="2C351897" w14:textId="77777777" w:rsidTr="00507F56">
        <w:tc>
          <w:tcPr>
            <w:tcW w:w="9108" w:type="dxa"/>
          </w:tcPr>
          <w:p w14:paraId="11C2D8D7" w14:textId="77777777" w:rsidR="004D3FD6" w:rsidRPr="00A23D6D" w:rsidRDefault="004D3FD6" w:rsidP="00A23D6D">
            <w:pPr>
              <w:jc w:val="center"/>
              <w:rPr>
                <w:rFonts w:ascii="Arial" w:hAnsi="Arial"/>
                <w:b/>
                <w:sz w:val="48"/>
                <w:szCs w:val="48"/>
              </w:rPr>
            </w:pPr>
          </w:p>
          <w:p w14:paraId="7B056F6B" w14:textId="77777777" w:rsidR="004D3FD6" w:rsidRPr="00A23D6D" w:rsidRDefault="004D3FD6" w:rsidP="00A23D6D">
            <w:pPr>
              <w:jc w:val="center"/>
              <w:rPr>
                <w:rFonts w:ascii="Arial" w:hAnsi="Arial"/>
                <w:b/>
                <w:sz w:val="48"/>
                <w:szCs w:val="48"/>
              </w:rPr>
            </w:pPr>
          </w:p>
          <w:p w14:paraId="1A90485F" w14:textId="77777777" w:rsidR="004D3FD6" w:rsidRPr="00A23D6D" w:rsidRDefault="004D3FD6" w:rsidP="00A23D6D">
            <w:pPr>
              <w:jc w:val="center"/>
              <w:rPr>
                <w:rFonts w:ascii="Arial" w:hAnsi="Arial"/>
                <w:b/>
                <w:sz w:val="48"/>
                <w:szCs w:val="48"/>
              </w:rPr>
            </w:pPr>
          </w:p>
        </w:tc>
      </w:tr>
      <w:tr w:rsidR="006336A8" w:rsidRPr="00A23D6D" w14:paraId="6AA15F16" w14:textId="77777777" w:rsidTr="00507F56">
        <w:tblPrEx>
          <w:shd w:val="clear" w:color="auto" w:fill="0000FF"/>
        </w:tblPrEx>
        <w:tc>
          <w:tcPr>
            <w:tcW w:w="9108" w:type="dxa"/>
            <w:shd w:val="clear" w:color="auto" w:fill="246A45"/>
          </w:tcPr>
          <w:p w14:paraId="0BFD158D" w14:textId="77777777" w:rsidR="006336A8" w:rsidRPr="00A23D6D" w:rsidRDefault="006336A8" w:rsidP="00A23D6D">
            <w:pPr>
              <w:jc w:val="center"/>
              <w:rPr>
                <w:rFonts w:ascii="Arial" w:hAnsi="Arial"/>
                <w:b/>
                <w:sz w:val="48"/>
                <w:szCs w:val="48"/>
              </w:rPr>
            </w:pPr>
          </w:p>
          <w:p w14:paraId="07307AA6" w14:textId="77777777" w:rsidR="006336A8" w:rsidRPr="00A23D6D" w:rsidRDefault="006336A8" w:rsidP="00A23D6D">
            <w:pPr>
              <w:jc w:val="center"/>
              <w:rPr>
                <w:rFonts w:ascii="Arial" w:hAnsi="Arial"/>
                <w:b/>
                <w:sz w:val="48"/>
                <w:szCs w:val="48"/>
              </w:rPr>
            </w:pPr>
          </w:p>
          <w:p w14:paraId="69DDDD29" w14:textId="77777777" w:rsidR="006336A8" w:rsidRPr="00507F56" w:rsidRDefault="006336A8" w:rsidP="00A23D6D">
            <w:pPr>
              <w:jc w:val="center"/>
              <w:rPr>
                <w:rFonts w:ascii="Arial" w:hAnsi="Arial"/>
                <w:b/>
                <w:color w:val="FFFFFF" w:themeColor="background1"/>
                <w:sz w:val="48"/>
                <w:szCs w:val="48"/>
              </w:rPr>
            </w:pPr>
          </w:p>
          <w:p w14:paraId="7F7A6A32" w14:textId="77777777" w:rsidR="00507F56" w:rsidRDefault="00EB41B8" w:rsidP="00A23D6D">
            <w:pPr>
              <w:jc w:val="center"/>
              <w:rPr>
                <w:rFonts w:ascii="Arial" w:hAnsi="Arial"/>
                <w:b/>
                <w:color w:val="FFFFFF" w:themeColor="background1"/>
                <w:sz w:val="48"/>
                <w:szCs w:val="48"/>
              </w:rPr>
            </w:pPr>
            <w:r w:rsidRPr="00507F56">
              <w:rPr>
                <w:rFonts w:ascii="Arial" w:hAnsi="Arial"/>
                <w:b/>
                <w:color w:val="FFFFFF" w:themeColor="background1"/>
                <w:sz w:val="48"/>
                <w:szCs w:val="48"/>
              </w:rPr>
              <w:t>P</w:t>
            </w:r>
            <w:r w:rsidR="006336A8" w:rsidRPr="00507F56">
              <w:rPr>
                <w:rFonts w:ascii="Arial" w:hAnsi="Arial"/>
                <w:b/>
                <w:color w:val="FFFFFF" w:themeColor="background1"/>
                <w:sz w:val="48"/>
                <w:szCs w:val="48"/>
              </w:rPr>
              <w:t>REQUALIFICATION</w:t>
            </w:r>
            <w:r w:rsidR="00507F56">
              <w:rPr>
                <w:rFonts w:ascii="Arial" w:hAnsi="Arial"/>
                <w:b/>
                <w:color w:val="FFFFFF" w:themeColor="background1"/>
                <w:sz w:val="48"/>
                <w:szCs w:val="48"/>
              </w:rPr>
              <w:t xml:space="preserve"> </w:t>
            </w:r>
            <w:r w:rsidR="006336A8" w:rsidRPr="00507F56">
              <w:rPr>
                <w:rFonts w:ascii="Arial" w:hAnsi="Arial"/>
                <w:b/>
                <w:color w:val="FFFFFF" w:themeColor="background1"/>
                <w:sz w:val="48"/>
                <w:szCs w:val="48"/>
              </w:rPr>
              <w:t xml:space="preserve">SCHEME </w:t>
            </w:r>
          </w:p>
          <w:p w14:paraId="16490D7B" w14:textId="77777777" w:rsidR="009C6638" w:rsidRPr="00507F56" w:rsidRDefault="006336A8" w:rsidP="00A23D6D">
            <w:pPr>
              <w:jc w:val="center"/>
              <w:rPr>
                <w:rFonts w:ascii="Arial" w:hAnsi="Arial"/>
                <w:b/>
                <w:color w:val="FFFFFF" w:themeColor="background1"/>
                <w:sz w:val="48"/>
                <w:szCs w:val="48"/>
              </w:rPr>
            </w:pPr>
            <w:r w:rsidRPr="00507F56">
              <w:rPr>
                <w:rFonts w:ascii="Arial" w:hAnsi="Arial"/>
                <w:b/>
                <w:color w:val="FFFFFF" w:themeColor="background1"/>
                <w:sz w:val="48"/>
                <w:szCs w:val="48"/>
              </w:rPr>
              <w:t>FOR</w:t>
            </w:r>
          </w:p>
          <w:p w14:paraId="0B96F157" w14:textId="77777777" w:rsidR="009C6638" w:rsidRPr="00507F56" w:rsidRDefault="009C6638" w:rsidP="00A23D6D">
            <w:pPr>
              <w:jc w:val="center"/>
              <w:rPr>
                <w:rFonts w:ascii="Arial" w:hAnsi="Arial"/>
                <w:b/>
                <w:color w:val="FFFFFF" w:themeColor="background1"/>
                <w:sz w:val="48"/>
                <w:szCs w:val="48"/>
              </w:rPr>
            </w:pPr>
            <w:r w:rsidRPr="00507F56">
              <w:rPr>
                <w:rFonts w:ascii="Arial" w:hAnsi="Arial"/>
                <w:b/>
                <w:color w:val="FFFFFF" w:themeColor="background1"/>
                <w:sz w:val="48"/>
                <w:szCs w:val="48"/>
              </w:rPr>
              <w:t xml:space="preserve">GENERAL </w:t>
            </w:r>
            <w:r w:rsidR="006336A8" w:rsidRPr="00507F56">
              <w:rPr>
                <w:rFonts w:ascii="Arial" w:hAnsi="Arial"/>
                <w:b/>
                <w:color w:val="FFFFFF" w:themeColor="background1"/>
                <w:sz w:val="48"/>
                <w:szCs w:val="48"/>
              </w:rPr>
              <w:t xml:space="preserve">CONSTRUCTION WORKS </w:t>
            </w:r>
          </w:p>
          <w:p w14:paraId="38B55F49" w14:textId="0357A7BC" w:rsidR="006336A8" w:rsidRDefault="006336A8" w:rsidP="00A23D6D">
            <w:pPr>
              <w:jc w:val="center"/>
              <w:rPr>
                <w:rFonts w:ascii="Arial" w:hAnsi="Arial"/>
                <w:b/>
                <w:color w:val="FFFFFF" w:themeColor="background1"/>
                <w:sz w:val="48"/>
                <w:szCs w:val="48"/>
              </w:rPr>
            </w:pPr>
            <w:r w:rsidRPr="00507F56">
              <w:rPr>
                <w:rFonts w:ascii="Arial" w:hAnsi="Arial"/>
                <w:b/>
                <w:color w:val="FFFFFF" w:themeColor="background1"/>
                <w:sz w:val="48"/>
                <w:szCs w:val="48"/>
              </w:rPr>
              <w:t xml:space="preserve">VALUED </w:t>
            </w:r>
            <w:r w:rsidR="009B3E7D" w:rsidRPr="00507F56">
              <w:rPr>
                <w:rFonts w:ascii="Arial" w:hAnsi="Arial"/>
                <w:b/>
                <w:color w:val="FFFFFF" w:themeColor="background1"/>
                <w:sz w:val="48"/>
                <w:szCs w:val="48"/>
              </w:rPr>
              <w:t>U</w:t>
            </w:r>
            <w:r w:rsidR="009467B4">
              <w:rPr>
                <w:rFonts w:ascii="Arial" w:hAnsi="Arial"/>
                <w:b/>
                <w:color w:val="FFFFFF" w:themeColor="background1"/>
                <w:sz w:val="48"/>
                <w:szCs w:val="48"/>
              </w:rPr>
              <w:t xml:space="preserve">P TO </w:t>
            </w:r>
            <w:r w:rsidRPr="00507F56">
              <w:rPr>
                <w:rFonts w:ascii="Arial" w:hAnsi="Arial"/>
                <w:b/>
                <w:color w:val="FFFFFF" w:themeColor="background1"/>
                <w:sz w:val="48"/>
                <w:szCs w:val="48"/>
              </w:rPr>
              <w:t>$</w:t>
            </w:r>
            <w:r w:rsidR="009B3E7D" w:rsidRPr="00507F56">
              <w:rPr>
                <w:rFonts w:ascii="Arial" w:hAnsi="Arial"/>
                <w:b/>
                <w:color w:val="FFFFFF" w:themeColor="background1"/>
                <w:sz w:val="48"/>
                <w:szCs w:val="48"/>
              </w:rPr>
              <w:t>1</w:t>
            </w:r>
            <w:r w:rsidRPr="00507F56">
              <w:rPr>
                <w:rFonts w:ascii="Arial" w:hAnsi="Arial"/>
                <w:b/>
                <w:color w:val="FFFFFF" w:themeColor="background1"/>
                <w:sz w:val="48"/>
                <w:szCs w:val="48"/>
              </w:rPr>
              <w:t>M</w:t>
            </w:r>
            <w:r w:rsidR="009467B4">
              <w:rPr>
                <w:rFonts w:ascii="Arial" w:hAnsi="Arial"/>
                <w:b/>
                <w:color w:val="FFFFFF" w:themeColor="background1"/>
                <w:sz w:val="48"/>
                <w:szCs w:val="48"/>
              </w:rPr>
              <w:t>ILLION</w:t>
            </w:r>
          </w:p>
          <w:p w14:paraId="54CA975C" w14:textId="04473358" w:rsidR="00BE05C2" w:rsidRPr="00507F56" w:rsidRDefault="00BE05C2" w:rsidP="00A23D6D">
            <w:pPr>
              <w:jc w:val="center"/>
              <w:rPr>
                <w:rFonts w:ascii="Arial" w:hAnsi="Arial"/>
                <w:b/>
                <w:color w:val="FFFFFF" w:themeColor="background1"/>
                <w:sz w:val="48"/>
                <w:szCs w:val="48"/>
              </w:rPr>
            </w:pPr>
            <w:r>
              <w:rPr>
                <w:rFonts w:ascii="Arial" w:hAnsi="Arial"/>
                <w:b/>
                <w:color w:val="FFFFFF" w:themeColor="background1"/>
                <w:sz w:val="48"/>
                <w:szCs w:val="48"/>
              </w:rPr>
              <w:t>201</w:t>
            </w:r>
            <w:r w:rsidR="00086EE7">
              <w:rPr>
                <w:rFonts w:ascii="Arial" w:hAnsi="Arial"/>
                <w:b/>
                <w:color w:val="FFFFFF" w:themeColor="background1"/>
                <w:sz w:val="48"/>
                <w:szCs w:val="48"/>
              </w:rPr>
              <w:t>4</w:t>
            </w:r>
            <w:r>
              <w:rPr>
                <w:rFonts w:ascii="Arial" w:hAnsi="Arial"/>
                <w:b/>
                <w:color w:val="FFFFFF" w:themeColor="background1"/>
                <w:sz w:val="48"/>
                <w:szCs w:val="48"/>
              </w:rPr>
              <w:t xml:space="preserve"> - 2019</w:t>
            </w:r>
          </w:p>
          <w:p w14:paraId="211554B4" w14:textId="77777777" w:rsidR="00E91F22" w:rsidRPr="00507F56" w:rsidRDefault="00E91F22" w:rsidP="00A23D6D">
            <w:pPr>
              <w:jc w:val="center"/>
              <w:rPr>
                <w:rFonts w:ascii="Arial" w:hAnsi="Arial"/>
                <w:b/>
                <w:color w:val="FFFFFF" w:themeColor="background1"/>
                <w:sz w:val="48"/>
                <w:szCs w:val="48"/>
              </w:rPr>
            </w:pPr>
          </w:p>
          <w:p w14:paraId="4A5F476B" w14:textId="77777777" w:rsidR="00E91F22" w:rsidRPr="00507F56" w:rsidRDefault="00E91F22" w:rsidP="00E91F22">
            <w:pPr>
              <w:jc w:val="center"/>
              <w:rPr>
                <w:rFonts w:ascii="Arial" w:hAnsi="Arial"/>
                <w:b/>
                <w:color w:val="FFFFFF" w:themeColor="background1"/>
                <w:sz w:val="48"/>
                <w:szCs w:val="48"/>
              </w:rPr>
            </w:pPr>
            <w:r w:rsidRPr="00507F56">
              <w:rPr>
                <w:rFonts w:ascii="Arial" w:hAnsi="Arial"/>
                <w:b/>
                <w:color w:val="FFFFFF" w:themeColor="background1"/>
                <w:sz w:val="48"/>
                <w:szCs w:val="48"/>
              </w:rPr>
              <w:t>SCHEME CONDITIONS</w:t>
            </w:r>
          </w:p>
          <w:p w14:paraId="4443BF65" w14:textId="77777777" w:rsidR="00E91F22" w:rsidRPr="00507F56" w:rsidRDefault="00E91F22" w:rsidP="00A23D6D">
            <w:pPr>
              <w:jc w:val="center"/>
              <w:rPr>
                <w:rFonts w:ascii="Arial" w:hAnsi="Arial"/>
                <w:b/>
                <w:color w:val="FFFFFF" w:themeColor="background1"/>
                <w:sz w:val="32"/>
                <w:szCs w:val="32"/>
              </w:rPr>
            </w:pPr>
          </w:p>
          <w:p w14:paraId="76125244" w14:textId="77777777" w:rsidR="006336A8" w:rsidRPr="00507F56" w:rsidRDefault="006336A8" w:rsidP="00A23D6D">
            <w:pPr>
              <w:jc w:val="center"/>
              <w:rPr>
                <w:rFonts w:ascii="Arial" w:hAnsi="Arial"/>
                <w:b/>
                <w:color w:val="FFFFFF" w:themeColor="background1"/>
              </w:rPr>
            </w:pPr>
          </w:p>
          <w:p w14:paraId="37EAECF8" w14:textId="77777777" w:rsidR="006336A8" w:rsidRPr="00507F56" w:rsidRDefault="006336A8" w:rsidP="00A23D6D">
            <w:pPr>
              <w:jc w:val="center"/>
              <w:rPr>
                <w:rFonts w:ascii="Arial" w:hAnsi="Arial"/>
                <w:b/>
                <w:color w:val="FFFFFF" w:themeColor="background1"/>
              </w:rPr>
            </w:pPr>
          </w:p>
          <w:p w14:paraId="4A91C015" w14:textId="77777777" w:rsidR="006336A8" w:rsidRPr="00507F56" w:rsidRDefault="006336A8" w:rsidP="00A23D6D">
            <w:pPr>
              <w:jc w:val="center"/>
              <w:rPr>
                <w:rFonts w:ascii="Arial" w:hAnsi="Arial"/>
                <w:b/>
                <w:color w:val="FFFFFF" w:themeColor="background1"/>
              </w:rPr>
            </w:pPr>
          </w:p>
          <w:p w14:paraId="5482C53D" w14:textId="77777777" w:rsidR="006336A8" w:rsidRDefault="006336A8" w:rsidP="00A23D6D">
            <w:pPr>
              <w:jc w:val="center"/>
              <w:rPr>
                <w:rFonts w:ascii="Arial" w:hAnsi="Arial"/>
                <w:b/>
                <w:color w:val="FFFFFF" w:themeColor="background1"/>
              </w:rPr>
            </w:pPr>
          </w:p>
          <w:p w14:paraId="37D5864F" w14:textId="77777777" w:rsidR="00507F56" w:rsidRPr="00507F56" w:rsidRDefault="00507F56" w:rsidP="00A23D6D">
            <w:pPr>
              <w:jc w:val="center"/>
              <w:rPr>
                <w:rFonts w:ascii="Arial" w:hAnsi="Arial"/>
                <w:b/>
                <w:color w:val="FFFFFF" w:themeColor="background1"/>
              </w:rPr>
            </w:pPr>
          </w:p>
          <w:p w14:paraId="158E53AD" w14:textId="77777777" w:rsidR="006336A8" w:rsidRPr="00507F56" w:rsidRDefault="006336A8" w:rsidP="00A23D6D">
            <w:pPr>
              <w:jc w:val="center"/>
              <w:rPr>
                <w:rFonts w:ascii="Arial" w:hAnsi="Arial"/>
                <w:b/>
                <w:color w:val="FFFFFF" w:themeColor="background1"/>
              </w:rPr>
            </w:pPr>
          </w:p>
          <w:p w14:paraId="102CD88F" w14:textId="3DDEF86F" w:rsidR="006336A8" w:rsidRDefault="0017158A" w:rsidP="00A23D6D">
            <w:pPr>
              <w:jc w:val="center"/>
              <w:rPr>
                <w:rFonts w:ascii="Arial" w:hAnsi="Arial"/>
                <w:b/>
                <w:color w:val="FFFFFF" w:themeColor="background1"/>
              </w:rPr>
            </w:pPr>
            <w:r>
              <w:rPr>
                <w:rFonts w:ascii="Arial" w:hAnsi="Arial"/>
                <w:b/>
                <w:color w:val="FFFFFF" w:themeColor="background1"/>
              </w:rPr>
              <w:t>December 2017</w:t>
            </w:r>
          </w:p>
          <w:p w14:paraId="237CAF15" w14:textId="77777777" w:rsidR="00507F56" w:rsidRDefault="00507F56" w:rsidP="00A23D6D">
            <w:pPr>
              <w:jc w:val="center"/>
              <w:rPr>
                <w:rFonts w:ascii="Arial" w:hAnsi="Arial"/>
                <w:b/>
                <w:color w:val="FFFFFF" w:themeColor="background1"/>
              </w:rPr>
            </w:pPr>
          </w:p>
          <w:p w14:paraId="015576E6" w14:textId="77777777" w:rsidR="00507F56" w:rsidRDefault="00507F56" w:rsidP="00A23D6D">
            <w:pPr>
              <w:jc w:val="center"/>
              <w:rPr>
                <w:rFonts w:ascii="Arial" w:hAnsi="Arial"/>
                <w:b/>
                <w:color w:val="FFFFFF" w:themeColor="background1"/>
              </w:rPr>
            </w:pPr>
          </w:p>
          <w:p w14:paraId="46BF06DC" w14:textId="77777777" w:rsidR="00507F56" w:rsidRDefault="00507F56" w:rsidP="00A23D6D">
            <w:pPr>
              <w:jc w:val="center"/>
              <w:rPr>
                <w:rFonts w:ascii="Arial" w:hAnsi="Arial"/>
                <w:b/>
                <w:color w:val="FFFFFF" w:themeColor="background1"/>
              </w:rPr>
            </w:pPr>
          </w:p>
          <w:p w14:paraId="2976ED55" w14:textId="77777777" w:rsidR="00507F56" w:rsidRPr="00507F56" w:rsidRDefault="00507F56" w:rsidP="00A23D6D">
            <w:pPr>
              <w:jc w:val="center"/>
              <w:rPr>
                <w:rFonts w:ascii="Arial" w:hAnsi="Arial"/>
                <w:b/>
                <w:color w:val="FFFFFF" w:themeColor="background1"/>
              </w:rPr>
            </w:pPr>
          </w:p>
          <w:p w14:paraId="527B98CA" w14:textId="77777777" w:rsidR="006336A8" w:rsidRPr="00A23D6D" w:rsidRDefault="006336A8" w:rsidP="00A23D6D">
            <w:pPr>
              <w:jc w:val="center"/>
              <w:rPr>
                <w:rFonts w:ascii="Arial" w:hAnsi="Arial"/>
                <w:b/>
                <w:sz w:val="40"/>
              </w:rPr>
            </w:pPr>
          </w:p>
        </w:tc>
      </w:tr>
    </w:tbl>
    <w:p w14:paraId="24C4CF3E" w14:textId="2D267B2B" w:rsidR="00086EE7" w:rsidRDefault="00086EE7" w:rsidP="00086EE7">
      <w:pPr>
        <w:pStyle w:val="ClauseHeading"/>
        <w:numPr>
          <w:ilvl w:val="0"/>
          <w:numId w:val="0"/>
        </w:numPr>
      </w:pPr>
    </w:p>
    <w:p w14:paraId="384FDFF0" w14:textId="77777777" w:rsidR="00086EE7" w:rsidRDefault="00086EE7">
      <w:pPr>
        <w:rPr>
          <w:rFonts w:ascii="Arial" w:hAnsi="Arial" w:cs="Arial"/>
          <w:b/>
          <w:bCs/>
          <w:sz w:val="22"/>
        </w:rPr>
      </w:pPr>
      <w:r>
        <w:br w:type="page"/>
      </w:r>
    </w:p>
    <w:tbl>
      <w:tblPr>
        <w:tblW w:w="9458" w:type="dxa"/>
        <w:jc w:val="cente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9458"/>
      </w:tblGrid>
      <w:tr w:rsidR="00086EE7" w:rsidRPr="001D67D9" w14:paraId="62C84FB3" w14:textId="77777777" w:rsidTr="00086EE7">
        <w:trPr>
          <w:trHeight w:val="510"/>
          <w:jc w:val="center"/>
        </w:trPr>
        <w:tc>
          <w:tcPr>
            <w:tcW w:w="9458" w:type="dxa"/>
            <w:tcBorders>
              <w:top w:val="single" w:sz="4" w:space="0" w:color="4472C4"/>
              <w:left w:val="single" w:sz="4" w:space="0" w:color="4472C4"/>
              <w:bottom w:val="single" w:sz="4" w:space="0" w:color="4472C4"/>
              <w:right w:val="single" w:sz="4" w:space="0" w:color="4472C4"/>
            </w:tcBorders>
            <w:shd w:val="clear" w:color="auto" w:fill="4472C4"/>
          </w:tcPr>
          <w:p w14:paraId="0DD295C5" w14:textId="77777777" w:rsidR="00086EE7" w:rsidRPr="001D67D9" w:rsidRDefault="00086EE7" w:rsidP="00D434FB">
            <w:pPr>
              <w:pStyle w:val="tablebody"/>
              <w:spacing w:before="40" w:after="40" w:line="336" w:lineRule="auto"/>
              <w:jc w:val="center"/>
              <w:rPr>
                <w:rFonts w:cs="Arial"/>
                <w:b/>
                <w:bCs/>
                <w:color w:val="FFFFFF"/>
                <w:sz w:val="28"/>
                <w:szCs w:val="28"/>
              </w:rPr>
            </w:pPr>
            <w:r w:rsidRPr="001D67D9">
              <w:rPr>
                <w:rFonts w:cs="Arial"/>
                <w:b/>
                <w:bCs/>
                <w:color w:val="FFFFFF"/>
                <w:sz w:val="28"/>
                <w:szCs w:val="28"/>
              </w:rPr>
              <w:lastRenderedPageBreak/>
              <w:t>GENERAL ENQUIRY INFORMATION</w:t>
            </w:r>
          </w:p>
        </w:tc>
      </w:tr>
      <w:tr w:rsidR="00086EE7" w:rsidRPr="001D67D9" w14:paraId="4D142E01" w14:textId="77777777" w:rsidTr="00086EE7">
        <w:trPr>
          <w:trHeight w:val="1549"/>
          <w:jc w:val="center"/>
        </w:trPr>
        <w:tc>
          <w:tcPr>
            <w:tcW w:w="9458" w:type="dxa"/>
            <w:shd w:val="clear" w:color="auto" w:fill="auto"/>
          </w:tcPr>
          <w:p w14:paraId="39A67B84" w14:textId="77777777" w:rsidR="00086EE7" w:rsidRPr="001D67D9" w:rsidRDefault="00086EE7" w:rsidP="00D434FB">
            <w:pPr>
              <w:pStyle w:val="tablebody"/>
              <w:spacing w:before="40" w:after="40" w:line="336" w:lineRule="auto"/>
              <w:rPr>
                <w:rFonts w:cs="Arial"/>
                <w:bCs/>
                <w:szCs w:val="28"/>
                <w:u w:val="single"/>
              </w:rPr>
            </w:pPr>
            <w:r w:rsidRPr="001D67D9">
              <w:rPr>
                <w:rFonts w:cs="Arial"/>
                <w:bCs/>
                <w:szCs w:val="28"/>
              </w:rPr>
              <w:t>Agencies may refer to the following Scheme documents for additional information:</w:t>
            </w:r>
          </w:p>
          <w:p w14:paraId="42DD4999" w14:textId="77777777" w:rsidR="00086EE7" w:rsidRPr="001D67D9" w:rsidRDefault="00086EE7" w:rsidP="00086EE7">
            <w:pPr>
              <w:pStyle w:val="tablebody"/>
              <w:numPr>
                <w:ilvl w:val="0"/>
                <w:numId w:val="14"/>
              </w:numPr>
              <w:spacing w:before="40" w:after="40" w:line="336" w:lineRule="auto"/>
              <w:ind w:left="714" w:hanging="357"/>
              <w:jc w:val="both"/>
              <w:rPr>
                <w:rFonts w:cs="Arial"/>
                <w:bCs/>
                <w:szCs w:val="28"/>
              </w:rPr>
            </w:pPr>
            <w:r w:rsidRPr="001D67D9">
              <w:rPr>
                <w:rFonts w:cs="Arial"/>
                <w:bCs/>
                <w:szCs w:val="28"/>
              </w:rPr>
              <w:t>Guidelines for Applicants</w:t>
            </w:r>
          </w:p>
          <w:p w14:paraId="3E5D59D5" w14:textId="77777777" w:rsidR="00086EE7" w:rsidRPr="001D67D9" w:rsidRDefault="00086EE7" w:rsidP="00086EE7">
            <w:pPr>
              <w:pStyle w:val="tablebody"/>
              <w:numPr>
                <w:ilvl w:val="0"/>
                <w:numId w:val="14"/>
              </w:numPr>
              <w:spacing w:before="40" w:after="40" w:line="336" w:lineRule="auto"/>
              <w:ind w:left="714" w:hanging="357"/>
              <w:jc w:val="both"/>
              <w:rPr>
                <w:rFonts w:cs="Arial"/>
                <w:bCs/>
                <w:szCs w:val="28"/>
              </w:rPr>
            </w:pPr>
            <w:r w:rsidRPr="001D67D9">
              <w:rPr>
                <w:rFonts w:cs="Arial"/>
                <w:bCs/>
                <w:szCs w:val="28"/>
              </w:rPr>
              <w:t>Scheme Conditions</w:t>
            </w:r>
          </w:p>
          <w:p w14:paraId="1E4C25C2" w14:textId="77777777" w:rsidR="00086EE7" w:rsidRPr="001D67D9" w:rsidRDefault="00086EE7" w:rsidP="00086EE7">
            <w:pPr>
              <w:pStyle w:val="tablebody"/>
              <w:numPr>
                <w:ilvl w:val="0"/>
                <w:numId w:val="14"/>
              </w:numPr>
              <w:spacing w:before="40" w:after="40" w:line="336" w:lineRule="auto"/>
              <w:ind w:left="714" w:hanging="357"/>
              <w:jc w:val="both"/>
              <w:rPr>
                <w:rFonts w:cs="Arial"/>
                <w:bCs/>
                <w:szCs w:val="28"/>
              </w:rPr>
            </w:pPr>
            <w:r>
              <w:rPr>
                <w:rFonts w:cs="Arial"/>
                <w:bCs/>
                <w:szCs w:val="28"/>
              </w:rPr>
              <w:t xml:space="preserve"> </w:t>
            </w:r>
            <w:hyperlink r:id="rId10" w:history="1">
              <w:r w:rsidRPr="00DB0A56">
                <w:rPr>
                  <w:rStyle w:val="Hyperlink"/>
                  <w:rFonts w:cs="Arial"/>
                  <w:bCs/>
                  <w:szCs w:val="28"/>
                </w:rPr>
                <w:t>Link to the Appli</w:t>
              </w:r>
              <w:r w:rsidRPr="00DB0A56">
                <w:rPr>
                  <w:rStyle w:val="Hyperlink"/>
                  <w:rFonts w:cs="Arial"/>
                  <w:bCs/>
                  <w:szCs w:val="28"/>
                </w:rPr>
                <w:t>c</w:t>
              </w:r>
              <w:r w:rsidRPr="00DB0A56">
                <w:rPr>
                  <w:rStyle w:val="Hyperlink"/>
                  <w:rFonts w:cs="Arial"/>
                  <w:bCs/>
                  <w:szCs w:val="28"/>
                </w:rPr>
                <w:t>a</w:t>
              </w:r>
              <w:r w:rsidRPr="00DB0A56">
                <w:rPr>
                  <w:rStyle w:val="Hyperlink"/>
                  <w:rFonts w:cs="Arial"/>
                  <w:bCs/>
                  <w:szCs w:val="28"/>
                </w:rPr>
                <w:t>t</w:t>
              </w:r>
              <w:r w:rsidRPr="00DB0A56">
                <w:rPr>
                  <w:rStyle w:val="Hyperlink"/>
                  <w:rFonts w:cs="Arial"/>
                  <w:bCs/>
                  <w:szCs w:val="28"/>
                </w:rPr>
                <w:t>ion</w:t>
              </w:r>
            </w:hyperlink>
          </w:p>
          <w:p w14:paraId="6A515419" w14:textId="77777777" w:rsidR="00086EE7" w:rsidRPr="005F1728" w:rsidRDefault="00086EE7" w:rsidP="00D434FB">
            <w:pPr>
              <w:pStyle w:val="tablebody"/>
              <w:spacing w:before="40" w:after="40" w:line="336" w:lineRule="auto"/>
              <w:jc w:val="both"/>
              <w:rPr>
                <w:rFonts w:cs="Arial"/>
                <w:bCs/>
                <w:szCs w:val="28"/>
              </w:rPr>
            </w:pPr>
            <w:r w:rsidRPr="001D67D9">
              <w:rPr>
                <w:rFonts w:cs="Arial"/>
                <w:bCs/>
                <w:szCs w:val="28"/>
              </w:rPr>
              <w:t xml:space="preserve">The above documents are available on </w:t>
            </w:r>
            <w:r>
              <w:rPr>
                <w:rFonts w:cs="Arial"/>
                <w:bCs/>
                <w:szCs w:val="28"/>
              </w:rPr>
              <w:t xml:space="preserve">- </w:t>
            </w:r>
            <w:hyperlink r:id="rId11" w:history="1">
              <w:r w:rsidRPr="00260D85">
                <w:rPr>
                  <w:rStyle w:val="Hyperlink"/>
                  <w:rFonts w:cs="Arial"/>
                  <w:szCs w:val="28"/>
                </w:rPr>
                <w:t>https://www.procurepoint.nsw.gov.au/scm0256</w:t>
              </w:r>
            </w:hyperlink>
          </w:p>
        </w:tc>
      </w:tr>
      <w:tr w:rsidR="00086EE7" w:rsidRPr="0074715B" w14:paraId="1AC3CD3F" w14:textId="77777777" w:rsidTr="00086EE7">
        <w:trPr>
          <w:trHeight w:val="499"/>
          <w:jc w:val="center"/>
        </w:trPr>
        <w:tc>
          <w:tcPr>
            <w:tcW w:w="9458" w:type="dxa"/>
            <w:shd w:val="clear" w:color="auto" w:fill="D9E2F3"/>
          </w:tcPr>
          <w:p w14:paraId="1A35BDEC" w14:textId="77777777" w:rsidR="00086EE7" w:rsidRPr="0074715B" w:rsidRDefault="00086EE7" w:rsidP="00D434FB">
            <w:pPr>
              <w:pStyle w:val="tablebody"/>
              <w:spacing w:before="40" w:after="40" w:line="336" w:lineRule="auto"/>
              <w:jc w:val="both"/>
              <w:rPr>
                <w:rFonts w:cs="Arial"/>
                <w:bCs/>
                <w:sz w:val="28"/>
                <w:szCs w:val="28"/>
              </w:rPr>
            </w:pPr>
            <w:r w:rsidRPr="00643EE2">
              <w:rPr>
                <w:rFonts w:cs="Arial"/>
                <w:b/>
                <w:bCs/>
                <w:sz w:val="28"/>
                <w:szCs w:val="24"/>
              </w:rPr>
              <w:t>Enquiries</w:t>
            </w:r>
            <w:r w:rsidRPr="001D67D9">
              <w:rPr>
                <w:rFonts w:cs="Arial"/>
                <w:b/>
                <w:bCs/>
                <w:sz w:val="28"/>
                <w:szCs w:val="28"/>
              </w:rPr>
              <w:t xml:space="preserve">: </w:t>
            </w:r>
            <w:r w:rsidRPr="0074715B">
              <w:rPr>
                <w:rFonts w:cs="Arial"/>
                <w:bCs/>
                <w:szCs w:val="28"/>
              </w:rPr>
              <w:t>For enquiries please contact</w:t>
            </w:r>
            <w:r>
              <w:rPr>
                <w:rFonts w:cs="Arial"/>
                <w:bCs/>
                <w:szCs w:val="28"/>
              </w:rPr>
              <w:t xml:space="preserve"> -</w:t>
            </w:r>
            <w:r>
              <w:rPr>
                <w:rFonts w:cs="Arial"/>
                <w:bCs/>
                <w:color w:val="0000FF"/>
                <w:sz w:val="24"/>
                <w:szCs w:val="28"/>
              </w:rPr>
              <w:t xml:space="preserve"> </w:t>
            </w:r>
            <w:r w:rsidRPr="0074715B">
              <w:rPr>
                <w:rFonts w:cs="Arial"/>
                <w:bCs/>
                <w:color w:val="0000FF"/>
                <w:szCs w:val="28"/>
              </w:rPr>
              <w:t>ConstructionSuppliers@finance.nsw.gov.au</w:t>
            </w:r>
          </w:p>
        </w:tc>
      </w:tr>
      <w:tr w:rsidR="00086EE7" w:rsidRPr="0074715B" w14:paraId="4022AF80" w14:textId="77777777" w:rsidTr="00086EE7">
        <w:trPr>
          <w:trHeight w:val="499"/>
          <w:jc w:val="center"/>
        </w:trPr>
        <w:tc>
          <w:tcPr>
            <w:tcW w:w="9458" w:type="dxa"/>
            <w:shd w:val="clear" w:color="auto" w:fill="D9E2F3"/>
          </w:tcPr>
          <w:p w14:paraId="64A59A70" w14:textId="77777777" w:rsidR="00086EE7" w:rsidRPr="00643EE2" w:rsidRDefault="00086EE7" w:rsidP="00D434FB">
            <w:pPr>
              <w:pStyle w:val="tablebody"/>
              <w:spacing w:before="40" w:after="40" w:line="336" w:lineRule="auto"/>
              <w:jc w:val="both"/>
              <w:rPr>
                <w:rFonts w:cs="Arial"/>
                <w:b/>
                <w:bCs/>
                <w:sz w:val="28"/>
                <w:szCs w:val="24"/>
              </w:rPr>
            </w:pPr>
            <w:r w:rsidRPr="001D67D9">
              <w:rPr>
                <w:rFonts w:cs="Arial"/>
                <w:b/>
                <w:bCs/>
                <w:sz w:val="28"/>
                <w:szCs w:val="24"/>
              </w:rPr>
              <w:t>Agencies seeking a list of Contractors</w:t>
            </w:r>
          </w:p>
        </w:tc>
      </w:tr>
      <w:tr w:rsidR="00086EE7" w:rsidRPr="0074715B" w14:paraId="2D02B061" w14:textId="77777777" w:rsidTr="00086EE7">
        <w:trPr>
          <w:trHeight w:val="499"/>
          <w:jc w:val="center"/>
        </w:trPr>
        <w:tc>
          <w:tcPr>
            <w:tcW w:w="9458" w:type="dxa"/>
            <w:shd w:val="clear" w:color="auto" w:fill="auto"/>
          </w:tcPr>
          <w:p w14:paraId="0DB3A229" w14:textId="77777777" w:rsidR="00086EE7" w:rsidRPr="001D67D9" w:rsidRDefault="00086EE7" w:rsidP="00D434FB">
            <w:pPr>
              <w:pStyle w:val="tablebody"/>
              <w:spacing w:before="40" w:after="40" w:line="336" w:lineRule="auto"/>
              <w:jc w:val="both"/>
              <w:rPr>
                <w:rFonts w:cs="Arial"/>
                <w:bCs/>
                <w:szCs w:val="24"/>
              </w:rPr>
            </w:pPr>
            <w:r w:rsidRPr="001D67D9">
              <w:rPr>
                <w:rFonts w:cs="Arial"/>
                <w:bCs/>
                <w:szCs w:val="24"/>
              </w:rPr>
              <w:t>Agencies seeking a list of Contractors for a specific project are to submit a request using the form:</w:t>
            </w:r>
          </w:p>
          <w:p w14:paraId="3F60BE82" w14:textId="77777777" w:rsidR="00086EE7" w:rsidRPr="001D67D9" w:rsidRDefault="00086EE7" w:rsidP="00D434FB">
            <w:pPr>
              <w:pStyle w:val="tablebody"/>
              <w:spacing w:before="40" w:after="40" w:line="336" w:lineRule="auto"/>
              <w:jc w:val="both"/>
              <w:rPr>
                <w:rFonts w:cs="Arial"/>
                <w:bCs/>
                <w:color w:val="000000"/>
                <w:szCs w:val="24"/>
              </w:rPr>
            </w:pPr>
            <w:r w:rsidRPr="001D67D9">
              <w:rPr>
                <w:rFonts w:cs="Arial"/>
                <w:bCs/>
                <w:color w:val="000000"/>
                <w:szCs w:val="24"/>
              </w:rPr>
              <w:t>The form is available online:</w:t>
            </w:r>
          </w:p>
          <w:p w14:paraId="7D79633B" w14:textId="77777777" w:rsidR="00086EE7" w:rsidRPr="005F1728" w:rsidRDefault="00086EE7" w:rsidP="00086EE7">
            <w:pPr>
              <w:pStyle w:val="tablebody"/>
              <w:numPr>
                <w:ilvl w:val="0"/>
                <w:numId w:val="15"/>
              </w:numPr>
              <w:spacing w:before="40" w:after="40" w:line="336" w:lineRule="auto"/>
              <w:ind w:left="714" w:hanging="357"/>
              <w:jc w:val="both"/>
              <w:rPr>
                <w:rFonts w:cs="Arial"/>
                <w:bCs/>
                <w:color w:val="000000"/>
                <w:szCs w:val="24"/>
              </w:rPr>
            </w:pPr>
            <w:r w:rsidRPr="001D67D9">
              <w:rPr>
                <w:rFonts w:cs="Arial"/>
                <w:bCs/>
                <w:color w:val="000000"/>
                <w:szCs w:val="24"/>
              </w:rPr>
              <w:t xml:space="preserve">Go to web site:  </w:t>
            </w:r>
            <w:hyperlink r:id="rId12" w:history="1">
              <w:r w:rsidRPr="00260D85">
                <w:rPr>
                  <w:rStyle w:val="Hyperlink"/>
                  <w:rFonts w:cs="Arial"/>
                  <w:szCs w:val="28"/>
                </w:rPr>
                <w:t>https://www.procurepoint.nsw.gov.au/scm0256</w:t>
              </w:r>
            </w:hyperlink>
          </w:p>
          <w:p w14:paraId="34E0BEC1" w14:textId="77777777" w:rsidR="00086EE7" w:rsidRPr="005F1728" w:rsidRDefault="00086EE7" w:rsidP="00086EE7">
            <w:pPr>
              <w:pStyle w:val="tablebody"/>
              <w:numPr>
                <w:ilvl w:val="0"/>
                <w:numId w:val="15"/>
              </w:numPr>
              <w:spacing w:before="40" w:after="40" w:line="336" w:lineRule="auto"/>
              <w:ind w:left="714" w:hanging="357"/>
              <w:jc w:val="both"/>
              <w:rPr>
                <w:rFonts w:cs="Arial"/>
                <w:bCs/>
                <w:color w:val="000000"/>
                <w:szCs w:val="24"/>
              </w:rPr>
            </w:pPr>
            <w:r w:rsidRPr="001D67D9">
              <w:rPr>
                <w:rFonts w:cs="Arial"/>
                <w:bCs/>
                <w:color w:val="000000"/>
                <w:szCs w:val="24"/>
              </w:rPr>
              <w:t>Select: ‘</w:t>
            </w:r>
            <w:r>
              <w:rPr>
                <w:rFonts w:cs="Arial"/>
                <w:bCs/>
                <w:color w:val="000000"/>
                <w:szCs w:val="24"/>
              </w:rPr>
              <w:t>Information for buyers &gt; prequalified suppliers</w:t>
            </w:r>
            <w:r w:rsidRPr="001D67D9">
              <w:rPr>
                <w:rFonts w:cs="Arial"/>
                <w:bCs/>
                <w:color w:val="000000"/>
                <w:szCs w:val="24"/>
              </w:rPr>
              <w:t>’ from the drop-down menu</w:t>
            </w:r>
          </w:p>
        </w:tc>
      </w:tr>
    </w:tbl>
    <w:p w14:paraId="527D54AE" w14:textId="77777777" w:rsidR="00086EE7" w:rsidRDefault="00086EE7" w:rsidP="00086EE7">
      <w:pPr>
        <w:pStyle w:val="ClauseHeading"/>
        <w:numPr>
          <w:ilvl w:val="0"/>
          <w:numId w:val="0"/>
        </w:numPr>
      </w:pPr>
    </w:p>
    <w:p w14:paraId="0C06ABC8" w14:textId="77777777" w:rsidR="00086EE7" w:rsidRDefault="00086EE7">
      <w:r>
        <w:br w:type="page"/>
      </w:r>
    </w:p>
    <w:p w14:paraId="5DE73AC5" w14:textId="77777777" w:rsidR="00086EE7" w:rsidRPr="009433B2" w:rsidRDefault="00086EE7" w:rsidP="00086EE7">
      <w:pPr>
        <w:spacing w:line="336" w:lineRule="auto"/>
        <w:ind w:left="720"/>
        <w:jc w:val="both"/>
        <w:rPr>
          <w:rFonts w:ascii="Arial" w:hAnsi="Arial" w:cs="Arial"/>
          <w:b/>
          <w:bCs/>
        </w:rPr>
      </w:pPr>
      <w:r w:rsidRPr="009433B2">
        <w:rPr>
          <w:rFonts w:ascii="Arial" w:hAnsi="Arial" w:cs="Arial"/>
          <w:b/>
          <w:bCs/>
        </w:rPr>
        <w:lastRenderedPageBreak/>
        <w:t>SCHEDULE OF DOCUMENT AMENDMENTS</w:t>
      </w:r>
    </w:p>
    <w:p w14:paraId="0AC672C2" w14:textId="77777777" w:rsidR="00086EE7" w:rsidRPr="009433B2" w:rsidRDefault="00086EE7" w:rsidP="00086EE7">
      <w:pPr>
        <w:spacing w:line="336" w:lineRule="auto"/>
        <w:jc w:val="both"/>
        <w:rPr>
          <w:rFonts w:ascii="Arial" w:hAnsi="Arial" w:cs="Arial"/>
          <w:sz w:val="22"/>
        </w:rPr>
      </w:pPr>
    </w:p>
    <w:tbl>
      <w:tblPr>
        <w:tblW w:w="852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0"/>
        <w:gridCol w:w="2160"/>
        <w:gridCol w:w="5220"/>
      </w:tblGrid>
      <w:tr w:rsidR="00086EE7" w:rsidRPr="009433B2" w14:paraId="5C49C11E" w14:textId="77777777" w:rsidTr="00D434FB">
        <w:tblPrEx>
          <w:tblCellMar>
            <w:top w:w="0" w:type="dxa"/>
            <w:bottom w:w="0" w:type="dxa"/>
          </w:tblCellMar>
        </w:tblPrEx>
        <w:trPr>
          <w:tblHeader/>
        </w:trPr>
        <w:tc>
          <w:tcPr>
            <w:tcW w:w="1140" w:type="dxa"/>
            <w:shd w:val="clear" w:color="auto" w:fill="D9D9D9"/>
          </w:tcPr>
          <w:p w14:paraId="7A2D321F" w14:textId="77777777" w:rsidR="00086EE7" w:rsidRPr="009433B2" w:rsidRDefault="00086EE7" w:rsidP="00D434FB">
            <w:pPr>
              <w:spacing w:before="40" w:after="40" w:line="336" w:lineRule="auto"/>
              <w:jc w:val="both"/>
              <w:rPr>
                <w:rFonts w:ascii="Arial" w:hAnsi="Arial" w:cs="Arial"/>
                <w:b/>
                <w:bCs/>
                <w:sz w:val="20"/>
              </w:rPr>
            </w:pPr>
            <w:r w:rsidRPr="009433B2">
              <w:rPr>
                <w:rFonts w:ascii="Arial" w:hAnsi="Arial" w:cs="Arial"/>
                <w:b/>
                <w:bCs/>
                <w:sz w:val="20"/>
              </w:rPr>
              <w:t>Revision Number</w:t>
            </w:r>
          </w:p>
        </w:tc>
        <w:tc>
          <w:tcPr>
            <w:tcW w:w="2160" w:type="dxa"/>
            <w:shd w:val="clear" w:color="auto" w:fill="D9D9D9"/>
          </w:tcPr>
          <w:p w14:paraId="32E8D190" w14:textId="77777777" w:rsidR="00086EE7" w:rsidRPr="009433B2" w:rsidRDefault="00086EE7" w:rsidP="00D434FB">
            <w:pPr>
              <w:pStyle w:val="Heading6"/>
              <w:spacing w:before="40" w:after="40" w:line="336" w:lineRule="auto"/>
              <w:jc w:val="both"/>
              <w:rPr>
                <w:rFonts w:ascii="Arial" w:hAnsi="Arial" w:cs="Arial"/>
                <w:bCs/>
                <w:szCs w:val="24"/>
                <w:lang w:val="en-AU"/>
              </w:rPr>
            </w:pPr>
            <w:r w:rsidRPr="009433B2">
              <w:rPr>
                <w:rFonts w:ascii="Arial" w:hAnsi="Arial" w:cs="Arial"/>
                <w:bCs/>
                <w:szCs w:val="24"/>
                <w:lang w:val="en-AU"/>
              </w:rPr>
              <w:t>Date</w:t>
            </w:r>
          </w:p>
        </w:tc>
        <w:tc>
          <w:tcPr>
            <w:tcW w:w="5220" w:type="dxa"/>
            <w:shd w:val="clear" w:color="auto" w:fill="D9D9D9"/>
          </w:tcPr>
          <w:p w14:paraId="28BC565C" w14:textId="77777777" w:rsidR="00086EE7" w:rsidRPr="009433B2" w:rsidRDefault="00086EE7" w:rsidP="00D434FB">
            <w:pPr>
              <w:spacing w:before="40" w:after="40" w:line="336" w:lineRule="auto"/>
              <w:jc w:val="both"/>
              <w:rPr>
                <w:rFonts w:ascii="Arial" w:hAnsi="Arial" w:cs="Arial"/>
                <w:b/>
                <w:bCs/>
                <w:sz w:val="20"/>
              </w:rPr>
            </w:pPr>
            <w:r w:rsidRPr="009433B2">
              <w:rPr>
                <w:rFonts w:ascii="Arial" w:hAnsi="Arial" w:cs="Arial"/>
                <w:b/>
                <w:bCs/>
                <w:sz w:val="20"/>
              </w:rPr>
              <w:t>Update Description</w:t>
            </w:r>
          </w:p>
        </w:tc>
      </w:tr>
      <w:tr w:rsidR="00086EE7" w:rsidRPr="009433B2" w14:paraId="289E422D" w14:textId="77777777" w:rsidTr="00D434FB">
        <w:tblPrEx>
          <w:tblCellMar>
            <w:top w:w="0" w:type="dxa"/>
            <w:bottom w:w="0" w:type="dxa"/>
          </w:tblCellMar>
        </w:tblPrEx>
        <w:tc>
          <w:tcPr>
            <w:tcW w:w="1140" w:type="dxa"/>
          </w:tcPr>
          <w:p w14:paraId="1482707F" w14:textId="77777777" w:rsidR="00086EE7" w:rsidRPr="009433B2" w:rsidRDefault="00086EE7" w:rsidP="00086EE7">
            <w:pPr>
              <w:numPr>
                <w:ilvl w:val="0"/>
                <w:numId w:val="3"/>
              </w:numPr>
              <w:spacing w:before="40" w:after="40" w:line="336" w:lineRule="auto"/>
              <w:jc w:val="both"/>
              <w:rPr>
                <w:rFonts w:ascii="Arial" w:hAnsi="Arial" w:cs="Arial"/>
                <w:sz w:val="20"/>
              </w:rPr>
            </w:pPr>
          </w:p>
        </w:tc>
        <w:tc>
          <w:tcPr>
            <w:tcW w:w="2160" w:type="dxa"/>
          </w:tcPr>
          <w:p w14:paraId="6B226E62" w14:textId="77777777" w:rsidR="00086EE7" w:rsidRPr="009433B2" w:rsidRDefault="00086EE7" w:rsidP="00D434FB">
            <w:pPr>
              <w:spacing w:before="40" w:after="40" w:line="336" w:lineRule="auto"/>
              <w:jc w:val="both"/>
              <w:rPr>
                <w:rFonts w:ascii="Arial" w:hAnsi="Arial" w:cs="Arial"/>
                <w:sz w:val="20"/>
              </w:rPr>
            </w:pPr>
            <w:r w:rsidRPr="009433B2">
              <w:rPr>
                <w:rFonts w:ascii="Arial" w:hAnsi="Arial" w:cs="Arial"/>
                <w:sz w:val="20"/>
              </w:rPr>
              <w:t>11 November 2014</w:t>
            </w:r>
          </w:p>
        </w:tc>
        <w:tc>
          <w:tcPr>
            <w:tcW w:w="5220" w:type="dxa"/>
          </w:tcPr>
          <w:p w14:paraId="22F192ED" w14:textId="77777777" w:rsidR="00086EE7" w:rsidRPr="009433B2" w:rsidRDefault="00086EE7" w:rsidP="00D434FB">
            <w:pPr>
              <w:spacing w:before="40" w:after="40" w:line="336" w:lineRule="auto"/>
              <w:jc w:val="both"/>
              <w:rPr>
                <w:rFonts w:ascii="Arial" w:hAnsi="Arial" w:cs="Arial"/>
                <w:sz w:val="20"/>
              </w:rPr>
            </w:pPr>
            <w:r w:rsidRPr="009433B2">
              <w:rPr>
                <w:rFonts w:ascii="Arial" w:hAnsi="Arial" w:cs="Arial"/>
                <w:sz w:val="20"/>
              </w:rPr>
              <w:t>Document Original</w:t>
            </w:r>
          </w:p>
        </w:tc>
      </w:tr>
      <w:tr w:rsidR="00086EE7" w:rsidRPr="009433B2" w14:paraId="6ED0B7A9" w14:textId="77777777" w:rsidTr="00D434FB">
        <w:tblPrEx>
          <w:tblCellMar>
            <w:top w:w="0" w:type="dxa"/>
            <w:bottom w:w="0" w:type="dxa"/>
          </w:tblCellMar>
        </w:tblPrEx>
        <w:tc>
          <w:tcPr>
            <w:tcW w:w="1140" w:type="dxa"/>
          </w:tcPr>
          <w:p w14:paraId="5A5D750A" w14:textId="77777777" w:rsidR="00086EE7" w:rsidRPr="009433B2" w:rsidRDefault="00086EE7" w:rsidP="00086EE7">
            <w:pPr>
              <w:numPr>
                <w:ilvl w:val="0"/>
                <w:numId w:val="2"/>
              </w:numPr>
              <w:spacing w:before="40" w:after="40" w:line="336" w:lineRule="auto"/>
              <w:jc w:val="both"/>
              <w:rPr>
                <w:rFonts w:ascii="Arial" w:hAnsi="Arial" w:cs="Arial"/>
                <w:sz w:val="20"/>
              </w:rPr>
            </w:pPr>
          </w:p>
        </w:tc>
        <w:tc>
          <w:tcPr>
            <w:tcW w:w="2160" w:type="dxa"/>
          </w:tcPr>
          <w:p w14:paraId="4E5FDF6B" w14:textId="77777777" w:rsidR="00086EE7" w:rsidRPr="009433B2" w:rsidRDefault="00086EE7" w:rsidP="00D434FB">
            <w:pPr>
              <w:spacing w:before="40" w:after="40" w:line="336" w:lineRule="auto"/>
              <w:jc w:val="both"/>
              <w:rPr>
                <w:rFonts w:ascii="Arial" w:hAnsi="Arial" w:cs="Arial"/>
                <w:sz w:val="20"/>
              </w:rPr>
            </w:pPr>
            <w:r>
              <w:rPr>
                <w:rFonts w:ascii="Arial" w:hAnsi="Arial" w:cs="Arial"/>
                <w:sz w:val="20"/>
              </w:rPr>
              <w:t>04 December 2017</w:t>
            </w:r>
          </w:p>
        </w:tc>
        <w:tc>
          <w:tcPr>
            <w:tcW w:w="5220" w:type="dxa"/>
          </w:tcPr>
          <w:p w14:paraId="4F0ADD18" w14:textId="77777777" w:rsidR="00086EE7" w:rsidRPr="009433B2" w:rsidRDefault="00086EE7" w:rsidP="00D434FB">
            <w:pPr>
              <w:spacing w:before="40" w:after="40" w:line="336" w:lineRule="auto"/>
              <w:jc w:val="both"/>
              <w:rPr>
                <w:rFonts w:ascii="Arial" w:hAnsi="Arial" w:cs="Arial"/>
                <w:sz w:val="20"/>
              </w:rPr>
            </w:pPr>
            <w:r>
              <w:rPr>
                <w:rFonts w:ascii="Arial" w:hAnsi="Arial" w:cs="Arial"/>
                <w:sz w:val="20"/>
              </w:rPr>
              <w:t>Scheme rollover to 1 January 2020</w:t>
            </w:r>
          </w:p>
        </w:tc>
      </w:tr>
    </w:tbl>
    <w:p w14:paraId="6B2C7AB8" w14:textId="5DCC91EA" w:rsidR="00086EE7" w:rsidRDefault="00086EE7">
      <w:pPr>
        <w:rPr>
          <w:rFonts w:ascii="Arial" w:hAnsi="Arial" w:cs="Arial"/>
          <w:b/>
          <w:bCs/>
          <w:sz w:val="22"/>
        </w:rPr>
      </w:pPr>
      <w:r>
        <w:br w:type="page"/>
      </w:r>
    </w:p>
    <w:p w14:paraId="4BC9C9CD" w14:textId="21BD0318" w:rsidR="00C23745" w:rsidRPr="003B093A" w:rsidRDefault="00D166F5" w:rsidP="008F7E83">
      <w:pPr>
        <w:pStyle w:val="ClauseHeading"/>
      </w:pPr>
      <w:r w:rsidRPr="003B093A">
        <w:lastRenderedPageBreak/>
        <w:t>Introduction</w:t>
      </w:r>
    </w:p>
    <w:p w14:paraId="174F8C26" w14:textId="77777777" w:rsidR="009C6638" w:rsidRDefault="00E91F22" w:rsidP="00C1573F">
      <w:pPr>
        <w:pStyle w:val="Clausenonumber"/>
        <w:ind w:left="0"/>
      </w:pPr>
      <w:r>
        <w:t>The NSW Government</w:t>
      </w:r>
      <w:r w:rsidR="009C6638">
        <w:t>’s</w:t>
      </w:r>
      <w:r>
        <w:t xml:space="preserve"> </w:t>
      </w:r>
      <w:r w:rsidR="001565E4">
        <w:t xml:space="preserve">Prequalification Scheme for </w:t>
      </w:r>
      <w:r w:rsidR="009C6638">
        <w:t xml:space="preserve">General </w:t>
      </w:r>
      <w:r w:rsidR="001565E4">
        <w:t xml:space="preserve">Construction Works valued </w:t>
      </w:r>
      <w:r w:rsidR="009467B4">
        <w:t xml:space="preserve">up to </w:t>
      </w:r>
      <w:r w:rsidR="001565E4">
        <w:t xml:space="preserve">$1 million (the Scheme) has been established to simplify the prequalification process for agencies and </w:t>
      </w:r>
      <w:r w:rsidR="009C6638">
        <w:t>construction contractors</w:t>
      </w:r>
      <w:r w:rsidR="001565E4">
        <w:t xml:space="preserve">. </w:t>
      </w:r>
    </w:p>
    <w:p w14:paraId="61C05D01" w14:textId="77777777" w:rsidR="009C6638" w:rsidRDefault="009C6638" w:rsidP="00C1573F">
      <w:pPr>
        <w:pStyle w:val="Clausenonumber"/>
        <w:ind w:left="0"/>
      </w:pPr>
    </w:p>
    <w:p w14:paraId="2BBCC8FB" w14:textId="77777777" w:rsidR="009C6638" w:rsidRDefault="006069E5" w:rsidP="00C1573F">
      <w:pPr>
        <w:pStyle w:val="Clausenonumber"/>
        <w:ind w:left="0"/>
      </w:pPr>
      <w:r>
        <w:t xml:space="preserve">The Scheme </w:t>
      </w:r>
      <w:r w:rsidR="009C6638">
        <w:t xml:space="preserve">allows </w:t>
      </w:r>
      <w:r>
        <w:t xml:space="preserve">contractors </w:t>
      </w:r>
      <w:r w:rsidR="009C6638">
        <w:t xml:space="preserve">to </w:t>
      </w:r>
      <w:r>
        <w:t>prequalif</w:t>
      </w:r>
      <w:r w:rsidR="009C6638">
        <w:t xml:space="preserve">y </w:t>
      </w:r>
      <w:r>
        <w:t xml:space="preserve">for </w:t>
      </w:r>
      <w:r w:rsidR="009C6638">
        <w:t xml:space="preserve">construction </w:t>
      </w:r>
      <w:r>
        <w:t xml:space="preserve">work </w:t>
      </w:r>
      <w:r w:rsidR="009C6638">
        <w:t xml:space="preserve">for </w:t>
      </w:r>
      <w:r>
        <w:t xml:space="preserve">all </w:t>
      </w:r>
      <w:r w:rsidR="009C6638">
        <w:t xml:space="preserve">NSW </w:t>
      </w:r>
      <w:r>
        <w:t>Government agencies</w:t>
      </w:r>
      <w:r w:rsidR="009C6638">
        <w:t xml:space="preserve"> (agencies)</w:t>
      </w:r>
      <w:r w:rsidR="00150A59">
        <w:t xml:space="preserve"> </w:t>
      </w:r>
      <w:r w:rsidR="003E5DAF">
        <w:t>for works valued up to $</w:t>
      </w:r>
      <w:r w:rsidR="00E256D7">
        <w:t>1</w:t>
      </w:r>
      <w:r w:rsidR="003E5DAF">
        <w:t xml:space="preserve">50,000 </w:t>
      </w:r>
      <w:r w:rsidR="00150A59">
        <w:t>and/</w:t>
      </w:r>
      <w:r w:rsidR="003E5DAF">
        <w:t>or works valued up to $1 million.</w:t>
      </w:r>
    </w:p>
    <w:p w14:paraId="047701F4" w14:textId="77777777" w:rsidR="009C6638" w:rsidRDefault="009C6638" w:rsidP="00C1573F">
      <w:pPr>
        <w:pStyle w:val="Clausenonumber"/>
        <w:ind w:left="0"/>
      </w:pPr>
    </w:p>
    <w:p w14:paraId="6492AD07" w14:textId="77777777" w:rsidR="00DB419D" w:rsidRDefault="00DB419D" w:rsidP="00C1573F">
      <w:pPr>
        <w:pStyle w:val="Clausenonumber"/>
        <w:ind w:left="0"/>
      </w:pPr>
      <w:r>
        <w:t>The guiding principles for the Scheme are that:</w:t>
      </w:r>
    </w:p>
    <w:p w14:paraId="6A04D901" w14:textId="77777777" w:rsidR="00295886" w:rsidRDefault="009C6638" w:rsidP="00086EE7">
      <w:pPr>
        <w:pStyle w:val="Clausenonumber"/>
        <w:numPr>
          <w:ilvl w:val="0"/>
          <w:numId w:val="8"/>
        </w:numPr>
      </w:pPr>
      <w:r>
        <w:t>o</w:t>
      </w:r>
      <w:r w:rsidR="00DB419D">
        <w:t xml:space="preserve">nly information necessary </w:t>
      </w:r>
      <w:r>
        <w:t xml:space="preserve">to </w:t>
      </w:r>
      <w:r w:rsidR="00295886">
        <w:t>assess a contractor’s status is collected</w:t>
      </w:r>
      <w:r w:rsidR="004060C6">
        <w:t>,</w:t>
      </w:r>
    </w:p>
    <w:p w14:paraId="5705F80B" w14:textId="77777777" w:rsidR="00295886" w:rsidRDefault="009C6638" w:rsidP="00086EE7">
      <w:pPr>
        <w:pStyle w:val="Clausenonumber"/>
        <w:numPr>
          <w:ilvl w:val="0"/>
          <w:numId w:val="8"/>
        </w:numPr>
      </w:pPr>
      <w:r>
        <w:t>c</w:t>
      </w:r>
      <w:r w:rsidR="00295886">
        <w:t xml:space="preserve">ontractors are not compelled to provide information that they have already provided </w:t>
      </w:r>
      <w:proofErr w:type="gramStart"/>
      <w:r w:rsidR="00295886">
        <w:t>in order to</w:t>
      </w:r>
      <w:proofErr w:type="gramEnd"/>
      <w:r w:rsidR="00295886">
        <w:t xml:space="preserve"> become prequalified</w:t>
      </w:r>
      <w:r w:rsidR="00520561">
        <w:t>,</w:t>
      </w:r>
      <w:r>
        <w:t xml:space="preserve"> and</w:t>
      </w:r>
    </w:p>
    <w:p w14:paraId="1B09A16E" w14:textId="77777777" w:rsidR="00C1573F" w:rsidRDefault="009C6638" w:rsidP="00086EE7">
      <w:pPr>
        <w:pStyle w:val="Clausenonumber"/>
        <w:numPr>
          <w:ilvl w:val="0"/>
          <w:numId w:val="8"/>
        </w:numPr>
      </w:pPr>
      <w:r>
        <w:t>Government a</w:t>
      </w:r>
      <w:r w:rsidR="00295886">
        <w:t>gencies consider using contractors prequalified by other agencies wherever possible</w:t>
      </w:r>
    </w:p>
    <w:p w14:paraId="5B82ADDC" w14:textId="77777777" w:rsidR="00DB419D" w:rsidRDefault="00DB419D" w:rsidP="00C1573F">
      <w:pPr>
        <w:pStyle w:val="Clausenonumber"/>
        <w:ind w:left="0"/>
      </w:pPr>
    </w:p>
    <w:p w14:paraId="3F54B3E7" w14:textId="77777777" w:rsidR="009C6638" w:rsidRDefault="00552865" w:rsidP="00C1573F">
      <w:pPr>
        <w:pStyle w:val="Clausenonumber"/>
        <w:ind w:left="0"/>
      </w:pPr>
      <w:r>
        <w:t xml:space="preserve">Procurement </w:t>
      </w:r>
      <w:r w:rsidR="00EB41B8">
        <w:t>Board Direction:</w:t>
      </w:r>
      <w:r w:rsidR="004060C6">
        <w:t xml:space="preserve"> </w:t>
      </w:r>
      <w:r w:rsidR="00FF3442">
        <w:t>C2014-04</w:t>
      </w:r>
      <w:r w:rsidR="009C6638">
        <w:t>:</w:t>
      </w:r>
      <w:r w:rsidR="00EB41B8">
        <w:t xml:space="preserve"> </w:t>
      </w:r>
    </w:p>
    <w:p w14:paraId="2F867CBC" w14:textId="77777777" w:rsidR="009C6638" w:rsidRDefault="000F2CBA" w:rsidP="00086EE7">
      <w:pPr>
        <w:pStyle w:val="Clausenonumber"/>
        <w:numPr>
          <w:ilvl w:val="0"/>
          <w:numId w:val="9"/>
        </w:numPr>
      </w:pPr>
      <w:r>
        <w:t>gives effect to</w:t>
      </w:r>
      <w:r w:rsidR="00EB41B8">
        <w:t xml:space="preserve"> the Scheme Rules</w:t>
      </w:r>
      <w:r w:rsidR="00E6536F">
        <w:t>,</w:t>
      </w:r>
    </w:p>
    <w:p w14:paraId="556C0DA4" w14:textId="77777777" w:rsidR="009C6638" w:rsidRDefault="009C6638" w:rsidP="00086EE7">
      <w:pPr>
        <w:pStyle w:val="Clausenonumber"/>
        <w:numPr>
          <w:ilvl w:val="0"/>
          <w:numId w:val="9"/>
        </w:numPr>
      </w:pPr>
      <w:r>
        <w:t xml:space="preserve">requires </w:t>
      </w:r>
      <w:r w:rsidR="00B96A66">
        <w:t xml:space="preserve">agencies </w:t>
      </w:r>
      <w:r>
        <w:t xml:space="preserve">to use this </w:t>
      </w:r>
      <w:r w:rsidR="00B96A66">
        <w:t xml:space="preserve">Scheme for relevant </w:t>
      </w:r>
      <w:r>
        <w:t xml:space="preserve">construction </w:t>
      </w:r>
      <w:r w:rsidR="00B96A66">
        <w:t>work valued up to $1</w:t>
      </w:r>
      <w:r>
        <w:t xml:space="preserve"> million</w:t>
      </w:r>
      <w:r w:rsidR="00520561">
        <w:t>,</w:t>
      </w:r>
      <w:r>
        <w:t xml:space="preserve"> and</w:t>
      </w:r>
    </w:p>
    <w:p w14:paraId="2D542226" w14:textId="77777777" w:rsidR="009C6638" w:rsidRDefault="009C6638" w:rsidP="00086EE7">
      <w:pPr>
        <w:pStyle w:val="Clausenonumber"/>
        <w:numPr>
          <w:ilvl w:val="0"/>
          <w:numId w:val="9"/>
        </w:numPr>
      </w:pPr>
      <w:r>
        <w:t>permits a</w:t>
      </w:r>
      <w:r w:rsidR="006A630A">
        <w:t xml:space="preserve">gencies </w:t>
      </w:r>
      <w:r>
        <w:t xml:space="preserve">to </w:t>
      </w:r>
      <w:r w:rsidR="006069E5">
        <w:t xml:space="preserve">operate </w:t>
      </w:r>
      <w:r>
        <w:t xml:space="preserve">other construction </w:t>
      </w:r>
      <w:r w:rsidR="006069E5">
        <w:t>prequalification scheme</w:t>
      </w:r>
      <w:r>
        <w:t>s</w:t>
      </w:r>
      <w:r w:rsidR="006069E5">
        <w:t xml:space="preserve"> </w:t>
      </w:r>
      <w:r>
        <w:t>in certain circumstances</w:t>
      </w:r>
      <w:r w:rsidR="006069E5">
        <w:t xml:space="preserve">. </w:t>
      </w:r>
    </w:p>
    <w:p w14:paraId="0FAECFEB" w14:textId="77777777" w:rsidR="00EB41B8" w:rsidRDefault="00EB41B8" w:rsidP="00C1573F">
      <w:pPr>
        <w:pStyle w:val="Clausenonumber"/>
        <w:ind w:left="0"/>
      </w:pPr>
    </w:p>
    <w:p w14:paraId="406B221E" w14:textId="70395ED6" w:rsidR="009C6638" w:rsidRDefault="00AA60ED" w:rsidP="00C1573F">
      <w:pPr>
        <w:pStyle w:val="Clausenonumber"/>
        <w:ind w:left="0"/>
      </w:pPr>
      <w:r w:rsidRPr="00E256D7">
        <w:t>Standard</w:t>
      </w:r>
      <w:r w:rsidR="004A2FF7" w:rsidRPr="00E256D7">
        <w:t xml:space="preserve"> contract</w:t>
      </w:r>
      <w:r w:rsidRPr="00E256D7">
        <w:t xml:space="preserve"> </w:t>
      </w:r>
      <w:r w:rsidR="00F9765A" w:rsidRPr="00E256D7">
        <w:t xml:space="preserve">terms </w:t>
      </w:r>
      <w:r w:rsidR="00737589" w:rsidRPr="00E256D7">
        <w:t xml:space="preserve">and </w:t>
      </w:r>
      <w:r w:rsidR="008F0D88" w:rsidRPr="00E256D7">
        <w:t>conditions</w:t>
      </w:r>
      <w:r w:rsidR="00F708F8" w:rsidRPr="00E256D7">
        <w:t xml:space="preserve"> </w:t>
      </w:r>
      <w:r w:rsidR="009C6638" w:rsidRPr="00E256D7">
        <w:t xml:space="preserve">apply to </w:t>
      </w:r>
      <w:r w:rsidR="004A2FF7" w:rsidRPr="00E256D7">
        <w:t xml:space="preserve">engagements </w:t>
      </w:r>
      <w:r w:rsidR="00631000" w:rsidRPr="00E256D7">
        <w:t xml:space="preserve">for </w:t>
      </w:r>
      <w:r w:rsidR="009C6638" w:rsidRPr="00E256D7">
        <w:t xml:space="preserve">work under </w:t>
      </w:r>
      <w:r w:rsidR="00F9765A" w:rsidRPr="00E256D7">
        <w:t xml:space="preserve">the </w:t>
      </w:r>
      <w:r w:rsidR="007421E5" w:rsidRPr="00E256D7">
        <w:t>Scheme</w:t>
      </w:r>
      <w:r w:rsidR="00F9765A" w:rsidRPr="00E256D7">
        <w:t>.</w:t>
      </w:r>
      <w:r w:rsidR="00F9765A">
        <w:t xml:space="preserve"> </w:t>
      </w:r>
    </w:p>
    <w:p w14:paraId="63F82F7A" w14:textId="64DA91EB" w:rsidR="00086EE7" w:rsidRDefault="00086EE7" w:rsidP="00C1573F">
      <w:pPr>
        <w:pStyle w:val="Clausenonumber"/>
        <w:ind w:left="0"/>
      </w:pPr>
    </w:p>
    <w:p w14:paraId="3537854A" w14:textId="77777777" w:rsidR="00086EE7" w:rsidRPr="009E1452" w:rsidRDefault="00086EE7" w:rsidP="00086EE7">
      <w:pPr>
        <w:pStyle w:val="ClauseHeading"/>
        <w:numPr>
          <w:ilvl w:val="0"/>
          <w:numId w:val="0"/>
        </w:numPr>
        <w:ind w:left="360" w:hanging="360"/>
        <w:rPr>
          <w:szCs w:val="22"/>
        </w:rPr>
      </w:pPr>
      <w:r w:rsidRPr="009E1452">
        <w:rPr>
          <w:szCs w:val="22"/>
        </w:rPr>
        <w:t xml:space="preserve">Automatic recognition of contractors prequalified under </w:t>
      </w:r>
      <w:r>
        <w:rPr>
          <w:szCs w:val="22"/>
        </w:rPr>
        <w:t>the existing</w:t>
      </w:r>
      <w:r w:rsidRPr="009E1452">
        <w:rPr>
          <w:szCs w:val="22"/>
        </w:rPr>
        <w:t xml:space="preserve"> scheme</w:t>
      </w:r>
    </w:p>
    <w:p w14:paraId="2E01301D" w14:textId="77777777" w:rsidR="00086EE7" w:rsidRDefault="00086EE7" w:rsidP="00086EE7">
      <w:pPr>
        <w:pStyle w:val="ListParagraph"/>
        <w:spacing w:after="0"/>
        <w:ind w:left="0"/>
        <w:jc w:val="both"/>
        <w:rPr>
          <w:rFonts w:ascii="Arial" w:hAnsi="Arial" w:cs="Arial"/>
          <w:sz w:val="22"/>
          <w:szCs w:val="22"/>
        </w:rPr>
      </w:pPr>
      <w:r w:rsidRPr="009E1452">
        <w:rPr>
          <w:rFonts w:ascii="Arial" w:hAnsi="Arial" w:cs="Arial"/>
          <w:sz w:val="22"/>
          <w:szCs w:val="22"/>
        </w:rPr>
        <w:t xml:space="preserve">Contractors Prequalified for works </w:t>
      </w:r>
      <w:r>
        <w:rPr>
          <w:rFonts w:ascii="Arial" w:hAnsi="Arial" w:cs="Arial"/>
          <w:sz w:val="22"/>
          <w:szCs w:val="22"/>
        </w:rPr>
        <w:t>under</w:t>
      </w:r>
      <w:r w:rsidRPr="009E1452">
        <w:rPr>
          <w:rFonts w:ascii="Arial" w:hAnsi="Arial" w:cs="Arial"/>
          <w:sz w:val="22"/>
          <w:szCs w:val="22"/>
        </w:rPr>
        <w:t xml:space="preserve"> $1m under the </w:t>
      </w:r>
      <w:r>
        <w:rPr>
          <w:rFonts w:ascii="Arial" w:hAnsi="Arial" w:cs="Arial"/>
          <w:sz w:val="22"/>
          <w:szCs w:val="22"/>
        </w:rPr>
        <w:t>existing</w:t>
      </w:r>
      <w:r w:rsidRPr="009E1452">
        <w:rPr>
          <w:rFonts w:ascii="Arial" w:hAnsi="Arial" w:cs="Arial"/>
          <w:sz w:val="22"/>
          <w:szCs w:val="22"/>
        </w:rPr>
        <w:t xml:space="preserve"> </w:t>
      </w:r>
      <w:r>
        <w:rPr>
          <w:rFonts w:ascii="Arial" w:hAnsi="Arial" w:cs="Arial"/>
          <w:sz w:val="22"/>
          <w:szCs w:val="22"/>
        </w:rPr>
        <w:t xml:space="preserve">SCM0256 </w:t>
      </w:r>
      <w:r w:rsidRPr="009E1452">
        <w:rPr>
          <w:rFonts w:ascii="Arial" w:hAnsi="Arial" w:cs="Arial"/>
          <w:sz w:val="22"/>
          <w:szCs w:val="22"/>
        </w:rPr>
        <w:t>scheme 201</w:t>
      </w:r>
      <w:r>
        <w:rPr>
          <w:rFonts w:ascii="Arial" w:hAnsi="Arial" w:cs="Arial"/>
          <w:sz w:val="22"/>
          <w:szCs w:val="22"/>
        </w:rPr>
        <w:t>4</w:t>
      </w:r>
      <w:r w:rsidRPr="009E1452">
        <w:rPr>
          <w:rFonts w:ascii="Arial" w:hAnsi="Arial" w:cs="Arial"/>
          <w:sz w:val="22"/>
          <w:szCs w:val="22"/>
        </w:rPr>
        <w:t xml:space="preserve"> – 201</w:t>
      </w:r>
      <w:r>
        <w:rPr>
          <w:rFonts w:ascii="Arial" w:hAnsi="Arial" w:cs="Arial"/>
          <w:sz w:val="22"/>
          <w:szCs w:val="22"/>
        </w:rPr>
        <w:t>7</w:t>
      </w:r>
      <w:r w:rsidRPr="009E1452">
        <w:rPr>
          <w:rFonts w:ascii="Arial" w:hAnsi="Arial" w:cs="Arial"/>
          <w:sz w:val="22"/>
          <w:szCs w:val="22"/>
        </w:rPr>
        <w:t xml:space="preserve"> are automatically recognised as prequalified under the Department of Finance, Services and Innovation (DFSI) 201</w:t>
      </w:r>
      <w:r>
        <w:rPr>
          <w:rFonts w:ascii="Arial" w:hAnsi="Arial" w:cs="Arial"/>
          <w:sz w:val="22"/>
          <w:szCs w:val="22"/>
        </w:rPr>
        <w:t>4</w:t>
      </w:r>
      <w:r w:rsidRPr="009E1452">
        <w:rPr>
          <w:rFonts w:ascii="Arial" w:hAnsi="Arial" w:cs="Arial"/>
          <w:sz w:val="22"/>
          <w:szCs w:val="22"/>
        </w:rPr>
        <w:t xml:space="preserve"> – 2019 for </w:t>
      </w:r>
      <w:r>
        <w:rPr>
          <w:rFonts w:ascii="Arial" w:hAnsi="Arial" w:cs="Arial"/>
          <w:sz w:val="22"/>
          <w:szCs w:val="22"/>
        </w:rPr>
        <w:t xml:space="preserve">SCM0256 </w:t>
      </w:r>
      <w:r w:rsidRPr="00EB7B79">
        <w:rPr>
          <w:rFonts w:ascii="Arial" w:hAnsi="Arial" w:cs="Arial"/>
          <w:sz w:val="22"/>
          <w:szCs w:val="22"/>
        </w:rPr>
        <w:t xml:space="preserve">General Construction Works valued up to $1 million </w:t>
      </w:r>
      <w:r w:rsidRPr="009E1452">
        <w:rPr>
          <w:rFonts w:ascii="Arial" w:hAnsi="Arial" w:cs="Arial"/>
          <w:sz w:val="22"/>
          <w:szCs w:val="22"/>
        </w:rPr>
        <w:t>(“the Scheme”).</w:t>
      </w:r>
    </w:p>
    <w:p w14:paraId="7E9FA644" w14:textId="77777777" w:rsidR="00086EE7" w:rsidRDefault="00086EE7" w:rsidP="00086EE7">
      <w:pPr>
        <w:spacing w:before="40" w:after="40" w:line="264" w:lineRule="auto"/>
        <w:rPr>
          <w:rFonts w:ascii="Arial" w:hAnsi="Arial" w:cs="Arial"/>
          <w:b/>
          <w:bCs/>
          <w:sz w:val="22"/>
        </w:rPr>
      </w:pPr>
    </w:p>
    <w:p w14:paraId="4DBA87D2" w14:textId="77777777" w:rsidR="00086EE7" w:rsidRDefault="00086EE7" w:rsidP="00086EE7">
      <w:pPr>
        <w:spacing w:before="40" w:after="40" w:line="264" w:lineRule="auto"/>
        <w:rPr>
          <w:rFonts w:ascii="Arial" w:hAnsi="Arial" w:cs="Arial"/>
          <w:b/>
          <w:bCs/>
          <w:sz w:val="22"/>
        </w:rPr>
      </w:pPr>
      <w:r>
        <w:rPr>
          <w:rFonts w:ascii="Arial" w:hAnsi="Arial" w:cs="Arial"/>
          <w:b/>
          <w:bCs/>
          <w:sz w:val="22"/>
        </w:rPr>
        <w:t>Scheme Timeline</w:t>
      </w:r>
    </w:p>
    <w:p w14:paraId="07F96CB8" w14:textId="77777777" w:rsidR="00086EE7" w:rsidRDefault="00086EE7" w:rsidP="00086EE7">
      <w:pPr>
        <w:spacing w:before="40" w:after="40" w:line="264" w:lineRule="auto"/>
        <w:rPr>
          <w:rFonts w:ascii="Arial" w:hAnsi="Arial" w:cs="Arial"/>
          <w:sz w:val="22"/>
        </w:rPr>
      </w:pPr>
      <w:r>
        <w:rPr>
          <w:rFonts w:ascii="Arial" w:hAnsi="Arial" w:cs="Arial"/>
          <w:sz w:val="22"/>
        </w:rPr>
        <w:t>The scheme is subject to continuous review and any aspect of the scheme is subject to change based on the requirements of NSW Government and the Department.</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6"/>
        <w:gridCol w:w="5210"/>
      </w:tblGrid>
      <w:tr w:rsidR="00086EE7" w14:paraId="4B01FF6B" w14:textId="77777777" w:rsidTr="00D434FB">
        <w:tc>
          <w:tcPr>
            <w:tcW w:w="3020" w:type="dxa"/>
            <w:shd w:val="clear" w:color="auto" w:fill="FFFF99"/>
          </w:tcPr>
          <w:p w14:paraId="06CC71C4" w14:textId="77777777" w:rsidR="00086EE7" w:rsidRDefault="00086EE7" w:rsidP="00D434FB">
            <w:pPr>
              <w:pStyle w:val="BodyText2"/>
              <w:spacing w:before="40" w:after="40" w:line="264" w:lineRule="auto"/>
              <w:jc w:val="left"/>
              <w:rPr>
                <w:rFonts w:cs="Times New Roman"/>
                <w:b/>
                <w:bCs/>
              </w:rPr>
            </w:pPr>
            <w:r>
              <w:rPr>
                <w:rFonts w:cs="Times New Roman"/>
                <w:b/>
                <w:bCs/>
                <w:sz w:val="22"/>
              </w:rPr>
              <w:t>Application acceptance</w:t>
            </w:r>
          </w:p>
        </w:tc>
        <w:tc>
          <w:tcPr>
            <w:tcW w:w="5372" w:type="dxa"/>
          </w:tcPr>
          <w:p w14:paraId="6C35120A" w14:textId="77777777" w:rsidR="00086EE7" w:rsidRDefault="00086EE7" w:rsidP="00D434FB">
            <w:pPr>
              <w:pStyle w:val="BodyText2"/>
              <w:spacing w:before="40" w:after="40" w:line="264" w:lineRule="auto"/>
              <w:jc w:val="left"/>
              <w:rPr>
                <w:rFonts w:cs="Times New Roman"/>
              </w:rPr>
            </w:pPr>
            <w:r>
              <w:rPr>
                <w:rFonts w:cs="Times New Roman"/>
                <w:sz w:val="22"/>
              </w:rPr>
              <w:t xml:space="preserve">Prior to and during the life of the Scheme </w:t>
            </w:r>
          </w:p>
        </w:tc>
      </w:tr>
      <w:tr w:rsidR="00086EE7" w14:paraId="3DD91099" w14:textId="77777777" w:rsidTr="00D434FB">
        <w:tc>
          <w:tcPr>
            <w:tcW w:w="3020" w:type="dxa"/>
            <w:shd w:val="clear" w:color="auto" w:fill="FFFF99"/>
          </w:tcPr>
          <w:p w14:paraId="26B09A64" w14:textId="77777777" w:rsidR="00086EE7" w:rsidRDefault="00086EE7" w:rsidP="00D434FB">
            <w:pPr>
              <w:pStyle w:val="BodyText2"/>
              <w:spacing w:before="40" w:after="40" w:line="264" w:lineRule="auto"/>
              <w:jc w:val="left"/>
              <w:rPr>
                <w:rFonts w:cs="Times New Roman"/>
                <w:b/>
                <w:bCs/>
              </w:rPr>
            </w:pPr>
            <w:r>
              <w:rPr>
                <w:rFonts w:cs="Times New Roman"/>
                <w:b/>
                <w:bCs/>
                <w:sz w:val="22"/>
              </w:rPr>
              <w:t>Scheme commences</w:t>
            </w:r>
          </w:p>
        </w:tc>
        <w:tc>
          <w:tcPr>
            <w:tcW w:w="5372" w:type="dxa"/>
          </w:tcPr>
          <w:p w14:paraId="601FC518" w14:textId="77777777" w:rsidR="00086EE7" w:rsidRDefault="00086EE7" w:rsidP="00D434FB">
            <w:pPr>
              <w:pStyle w:val="BodyText2"/>
              <w:spacing w:before="40" w:after="40" w:line="264" w:lineRule="auto"/>
              <w:jc w:val="left"/>
              <w:rPr>
                <w:rFonts w:cs="Times New Roman"/>
              </w:rPr>
            </w:pPr>
            <w:r>
              <w:rPr>
                <w:rFonts w:cs="Times New Roman"/>
                <w:sz w:val="22"/>
              </w:rPr>
              <w:t>14 November 2014</w:t>
            </w:r>
          </w:p>
        </w:tc>
      </w:tr>
      <w:tr w:rsidR="00086EE7" w14:paraId="76ED88AC" w14:textId="77777777" w:rsidTr="00D434FB">
        <w:tc>
          <w:tcPr>
            <w:tcW w:w="3020" w:type="dxa"/>
            <w:shd w:val="clear" w:color="auto" w:fill="FFFF99"/>
          </w:tcPr>
          <w:p w14:paraId="4B5E801E" w14:textId="77777777" w:rsidR="00086EE7" w:rsidRDefault="00086EE7" w:rsidP="00D434FB">
            <w:pPr>
              <w:pStyle w:val="BodyText2"/>
              <w:spacing w:before="40" w:after="40" w:line="264" w:lineRule="auto"/>
              <w:jc w:val="left"/>
              <w:rPr>
                <w:rFonts w:cs="Times New Roman"/>
                <w:b/>
                <w:bCs/>
              </w:rPr>
            </w:pPr>
            <w:r>
              <w:rPr>
                <w:rFonts w:cs="Times New Roman"/>
                <w:b/>
                <w:bCs/>
                <w:sz w:val="22"/>
              </w:rPr>
              <w:t>Scheme concludes</w:t>
            </w:r>
          </w:p>
        </w:tc>
        <w:tc>
          <w:tcPr>
            <w:tcW w:w="5372" w:type="dxa"/>
          </w:tcPr>
          <w:p w14:paraId="0365E421" w14:textId="276CC5A7" w:rsidR="00086EE7" w:rsidRPr="00A4178A" w:rsidRDefault="00086EE7" w:rsidP="00D434FB">
            <w:pPr>
              <w:pStyle w:val="BodyText2"/>
              <w:spacing w:before="40" w:after="40" w:line="264" w:lineRule="auto"/>
              <w:jc w:val="left"/>
              <w:rPr>
                <w:rFonts w:cs="Times New Roman"/>
                <w:sz w:val="22"/>
              </w:rPr>
            </w:pPr>
            <w:r>
              <w:rPr>
                <w:rFonts w:cs="Times New Roman"/>
                <w:sz w:val="22"/>
              </w:rPr>
              <w:t xml:space="preserve">1 January 2020 </w:t>
            </w:r>
            <w:bookmarkStart w:id="0" w:name="_GoBack"/>
            <w:bookmarkEnd w:id="0"/>
            <w:r>
              <w:rPr>
                <w:rFonts w:cs="Times New Roman"/>
                <w:sz w:val="22"/>
              </w:rPr>
              <w:t>(subject to review)</w:t>
            </w:r>
          </w:p>
        </w:tc>
      </w:tr>
      <w:tr w:rsidR="00086EE7" w14:paraId="7E510BF4" w14:textId="77777777" w:rsidTr="00D434FB">
        <w:tc>
          <w:tcPr>
            <w:tcW w:w="3020" w:type="dxa"/>
            <w:shd w:val="clear" w:color="auto" w:fill="FFFF99"/>
          </w:tcPr>
          <w:p w14:paraId="11A121A7" w14:textId="77777777" w:rsidR="00086EE7" w:rsidRDefault="00086EE7" w:rsidP="00D434FB">
            <w:pPr>
              <w:pStyle w:val="BodyText2"/>
              <w:spacing w:before="40" w:after="40" w:line="264" w:lineRule="auto"/>
              <w:jc w:val="left"/>
              <w:rPr>
                <w:rFonts w:cs="Times New Roman"/>
                <w:b/>
                <w:bCs/>
              </w:rPr>
            </w:pPr>
            <w:r>
              <w:rPr>
                <w:rFonts w:cs="Times New Roman"/>
                <w:b/>
                <w:bCs/>
                <w:sz w:val="22"/>
              </w:rPr>
              <w:t>Scheme extension</w:t>
            </w:r>
          </w:p>
        </w:tc>
        <w:tc>
          <w:tcPr>
            <w:tcW w:w="5372" w:type="dxa"/>
          </w:tcPr>
          <w:p w14:paraId="6D94BE2F" w14:textId="77777777" w:rsidR="00086EE7" w:rsidRDefault="00086EE7" w:rsidP="00D434FB">
            <w:pPr>
              <w:pStyle w:val="BodyText2"/>
              <w:spacing w:before="40" w:after="40" w:line="264" w:lineRule="auto"/>
              <w:jc w:val="left"/>
              <w:rPr>
                <w:rFonts w:cs="Times New Roman"/>
              </w:rPr>
            </w:pPr>
            <w:r>
              <w:rPr>
                <w:rFonts w:cs="Times New Roman"/>
                <w:sz w:val="22"/>
              </w:rPr>
              <w:t>Subject to Department requirements</w:t>
            </w:r>
          </w:p>
        </w:tc>
      </w:tr>
      <w:tr w:rsidR="00086EE7" w14:paraId="4A9FAB76" w14:textId="77777777" w:rsidTr="00D434FB">
        <w:tc>
          <w:tcPr>
            <w:tcW w:w="3020" w:type="dxa"/>
            <w:shd w:val="clear" w:color="auto" w:fill="FFFF99"/>
          </w:tcPr>
          <w:p w14:paraId="06448BA7" w14:textId="77777777" w:rsidR="00086EE7" w:rsidRDefault="00086EE7" w:rsidP="00D434FB">
            <w:pPr>
              <w:pStyle w:val="BodyText2"/>
              <w:spacing w:before="40" w:after="40" w:line="264" w:lineRule="auto"/>
              <w:jc w:val="left"/>
              <w:rPr>
                <w:rFonts w:cs="Times New Roman"/>
                <w:b/>
                <w:bCs/>
              </w:rPr>
            </w:pPr>
            <w:r>
              <w:rPr>
                <w:rFonts w:cs="Times New Roman"/>
                <w:b/>
                <w:bCs/>
                <w:sz w:val="22"/>
              </w:rPr>
              <w:t>Scheme content update</w:t>
            </w:r>
          </w:p>
        </w:tc>
        <w:tc>
          <w:tcPr>
            <w:tcW w:w="5372" w:type="dxa"/>
          </w:tcPr>
          <w:p w14:paraId="0EAE2A76" w14:textId="77777777" w:rsidR="00086EE7" w:rsidRDefault="00086EE7" w:rsidP="00D434FB">
            <w:pPr>
              <w:pStyle w:val="BodyText2"/>
              <w:spacing w:before="40" w:after="40" w:line="264" w:lineRule="auto"/>
              <w:jc w:val="left"/>
              <w:rPr>
                <w:rFonts w:cs="Times New Roman"/>
              </w:rPr>
            </w:pPr>
            <w:r>
              <w:rPr>
                <w:rFonts w:cs="Times New Roman"/>
                <w:sz w:val="22"/>
              </w:rPr>
              <w:t>Subject to Department requirements</w:t>
            </w:r>
          </w:p>
        </w:tc>
      </w:tr>
    </w:tbl>
    <w:p w14:paraId="6A81A95A" w14:textId="77777777" w:rsidR="00086EE7" w:rsidRPr="009E1452" w:rsidRDefault="00086EE7" w:rsidP="00086EE7">
      <w:pPr>
        <w:pStyle w:val="ListParagraph"/>
        <w:spacing w:after="0"/>
        <w:ind w:left="0"/>
        <w:jc w:val="both"/>
        <w:rPr>
          <w:rFonts w:ascii="Arial" w:hAnsi="Arial" w:cs="Arial"/>
          <w:sz w:val="22"/>
          <w:szCs w:val="22"/>
        </w:rPr>
      </w:pPr>
    </w:p>
    <w:p w14:paraId="0E8CC506" w14:textId="77777777" w:rsidR="00677015" w:rsidRDefault="00150A59" w:rsidP="00C1573F">
      <w:pPr>
        <w:pStyle w:val="ClauseHeading"/>
      </w:pPr>
      <w:r>
        <w:t>Additional i</w:t>
      </w:r>
      <w:r w:rsidR="00677015">
        <w:t xml:space="preserve">nformation </w:t>
      </w:r>
      <w:r>
        <w:t xml:space="preserve">may be required when </w:t>
      </w:r>
      <w:r w:rsidR="00677015">
        <w:t>tender</w:t>
      </w:r>
      <w:r>
        <w:t>ing</w:t>
      </w:r>
    </w:p>
    <w:p w14:paraId="496F3465" w14:textId="77777777" w:rsidR="00FC0FF3" w:rsidRPr="00C1573F" w:rsidRDefault="007E3C8D" w:rsidP="00C1573F">
      <w:pPr>
        <w:pStyle w:val="ClauseHeading"/>
        <w:numPr>
          <w:ilvl w:val="0"/>
          <w:numId w:val="0"/>
        </w:numPr>
        <w:jc w:val="both"/>
        <w:rPr>
          <w:b w:val="0"/>
        </w:rPr>
      </w:pPr>
      <w:r>
        <w:rPr>
          <w:b w:val="0"/>
        </w:rPr>
        <w:t xml:space="preserve">Agencies </w:t>
      </w:r>
      <w:r w:rsidR="009C6638">
        <w:rPr>
          <w:b w:val="0"/>
        </w:rPr>
        <w:t xml:space="preserve">may request further information from a prequalified contractor </w:t>
      </w:r>
      <w:r w:rsidR="00642A6A">
        <w:rPr>
          <w:b w:val="0"/>
        </w:rPr>
        <w:t>at the time of</w:t>
      </w:r>
      <w:r w:rsidR="00C1573F">
        <w:rPr>
          <w:b w:val="0"/>
        </w:rPr>
        <w:t xml:space="preserve"> </w:t>
      </w:r>
      <w:r w:rsidR="00642A6A">
        <w:rPr>
          <w:b w:val="0"/>
        </w:rPr>
        <w:t>tender or engagement.</w:t>
      </w:r>
    </w:p>
    <w:p w14:paraId="4A39EFE4" w14:textId="77777777" w:rsidR="00B305FC" w:rsidRDefault="00B305FC" w:rsidP="003B093A">
      <w:pPr>
        <w:jc w:val="both"/>
        <w:rPr>
          <w:rFonts w:ascii="Arial" w:hAnsi="Arial" w:cs="Arial"/>
          <w:sz w:val="22"/>
        </w:rPr>
      </w:pPr>
    </w:p>
    <w:p w14:paraId="2BB4D891" w14:textId="77777777" w:rsidR="00222BCA" w:rsidRPr="003B093A" w:rsidRDefault="00222BCA" w:rsidP="006A630A">
      <w:pPr>
        <w:pStyle w:val="ClauseHeading"/>
      </w:pPr>
      <w:r w:rsidRPr="003B093A">
        <w:t>Definitions</w:t>
      </w:r>
    </w:p>
    <w:p w14:paraId="53E50B3D" w14:textId="77777777" w:rsidR="004F7C65" w:rsidRPr="009C6638" w:rsidRDefault="009C6638" w:rsidP="001F558B">
      <w:pPr>
        <w:jc w:val="both"/>
        <w:rPr>
          <w:rFonts w:ascii="Arial" w:hAnsi="Arial" w:cs="Arial"/>
          <w:sz w:val="22"/>
          <w:szCs w:val="22"/>
        </w:rPr>
      </w:pPr>
      <w:r w:rsidRPr="009C6638">
        <w:rPr>
          <w:rFonts w:ascii="Arial" w:hAnsi="Arial" w:cs="Arial"/>
          <w:sz w:val="22"/>
          <w:szCs w:val="22"/>
        </w:rPr>
        <w:t>Definitions of terms used in the</w:t>
      </w:r>
      <w:r w:rsidR="00520561">
        <w:rPr>
          <w:rFonts w:ascii="Arial" w:hAnsi="Arial" w:cs="Arial"/>
          <w:sz w:val="22"/>
          <w:szCs w:val="22"/>
        </w:rPr>
        <w:t>se</w:t>
      </w:r>
      <w:r w:rsidRPr="009C6638">
        <w:rPr>
          <w:rFonts w:ascii="Arial" w:hAnsi="Arial" w:cs="Arial"/>
          <w:sz w:val="22"/>
          <w:szCs w:val="22"/>
        </w:rPr>
        <w:t xml:space="preserve"> Scheme Conditions </w:t>
      </w:r>
      <w:r>
        <w:rPr>
          <w:rFonts w:ascii="Arial" w:hAnsi="Arial" w:cs="Arial"/>
          <w:sz w:val="22"/>
          <w:szCs w:val="22"/>
        </w:rPr>
        <w:t>are listed in Appendix A.</w:t>
      </w:r>
    </w:p>
    <w:p w14:paraId="14ED17D4" w14:textId="77777777" w:rsidR="009C6638" w:rsidRPr="009C6638" w:rsidRDefault="009C6638" w:rsidP="001F558B">
      <w:pPr>
        <w:jc w:val="both"/>
        <w:rPr>
          <w:rFonts w:ascii="Arial" w:hAnsi="Arial" w:cs="Arial"/>
          <w:sz w:val="22"/>
          <w:szCs w:val="22"/>
        </w:rPr>
      </w:pPr>
    </w:p>
    <w:p w14:paraId="66B7CC5F" w14:textId="77777777" w:rsidR="00222BCA" w:rsidRPr="009B0842" w:rsidRDefault="00F9765A" w:rsidP="00357914">
      <w:pPr>
        <w:pStyle w:val="ClauseHeading"/>
      </w:pPr>
      <w:r w:rsidRPr="003B093A">
        <w:t xml:space="preserve">Changes to a </w:t>
      </w:r>
      <w:r w:rsidR="00150A59">
        <w:t>c</w:t>
      </w:r>
      <w:r w:rsidRPr="003B093A">
        <w:t>ontractor’s status</w:t>
      </w:r>
    </w:p>
    <w:p w14:paraId="342846BB" w14:textId="311CB1B2" w:rsidR="00872102" w:rsidRDefault="00642A6A" w:rsidP="00C1573F">
      <w:pPr>
        <w:pStyle w:val="Clausenonumber"/>
        <w:ind w:left="0"/>
      </w:pPr>
      <w:r w:rsidRPr="00636DC0">
        <w:t>C</w:t>
      </w:r>
      <w:r w:rsidRPr="00491DFB">
        <w:t>ontractor</w:t>
      </w:r>
      <w:r w:rsidRPr="00357914">
        <w:t>s</w:t>
      </w:r>
      <w:r w:rsidRPr="00F708F8">
        <w:t xml:space="preserve"> prequalified under this Scheme </w:t>
      </w:r>
      <w:r w:rsidR="00F9765A" w:rsidRPr="0068291B">
        <w:t xml:space="preserve">must immediately </w:t>
      </w:r>
      <w:r w:rsidR="00E1111B">
        <w:t>email</w:t>
      </w:r>
      <w:r w:rsidR="00E1111B" w:rsidRPr="0068291B">
        <w:t xml:space="preserve"> </w:t>
      </w:r>
      <w:r w:rsidR="001E12DE">
        <w:t xml:space="preserve">the </w:t>
      </w:r>
      <w:r w:rsidR="0034167D">
        <w:t>Department of Finance and Services (</w:t>
      </w:r>
      <w:r w:rsidR="0085716F">
        <w:t>DFSI</w:t>
      </w:r>
      <w:r w:rsidR="0034167D">
        <w:t>)</w:t>
      </w:r>
      <w:r w:rsidR="00E1111B">
        <w:t xml:space="preserve"> at</w:t>
      </w:r>
      <w:r w:rsidR="00B32811" w:rsidRPr="0068291B">
        <w:t xml:space="preserve"> </w:t>
      </w:r>
      <w:hyperlink r:id="rId13" w:history="1">
        <w:r w:rsidR="00E1111B" w:rsidRPr="00A812EE">
          <w:rPr>
            <w:rStyle w:val="Hyperlink"/>
          </w:rPr>
          <w:t>nswbuy@finance.nsw.gov.au</w:t>
        </w:r>
      </w:hyperlink>
      <w:r w:rsidR="00FF3442">
        <w:t xml:space="preserve"> </w:t>
      </w:r>
      <w:r w:rsidR="00F9765A" w:rsidRPr="0068291B">
        <w:t xml:space="preserve">of any </w:t>
      </w:r>
      <w:r w:rsidR="00F9765A">
        <w:t>material</w:t>
      </w:r>
      <w:r w:rsidR="00F9765A" w:rsidRPr="0068291B">
        <w:t xml:space="preserve"> </w:t>
      </w:r>
      <w:r w:rsidR="00F9765A" w:rsidRPr="0068291B">
        <w:lastRenderedPageBreak/>
        <w:t xml:space="preserve">change in their financial capacity, technical </w:t>
      </w:r>
      <w:r w:rsidR="00F9765A">
        <w:t xml:space="preserve">or business </w:t>
      </w:r>
      <w:r w:rsidR="00F9765A" w:rsidRPr="0068291B">
        <w:t xml:space="preserve">capacity, </w:t>
      </w:r>
      <w:r w:rsidR="00F9765A">
        <w:t>business structure and</w:t>
      </w:r>
      <w:r w:rsidR="00F9765A" w:rsidRPr="0068291B">
        <w:t xml:space="preserve"> contact details</w:t>
      </w:r>
      <w:r w:rsidR="00F9765A">
        <w:t xml:space="preserve">. </w:t>
      </w:r>
      <w:r>
        <w:t>C</w:t>
      </w:r>
      <w:r w:rsidR="00F9765A">
        <w:t xml:space="preserve">ontractors are also obliged to report any breaches of laws or legal proceedings </w:t>
      </w:r>
      <w:r w:rsidR="00B979EF">
        <w:t>referred to in the Scheme C</w:t>
      </w:r>
      <w:r w:rsidR="00F9765A">
        <w:t>onditions.</w:t>
      </w:r>
      <w:r w:rsidR="00673E94">
        <w:t xml:space="preserve"> Where ownership status changes (including mergers), ongoing prequalification status will be reviewed and determined by </w:t>
      </w:r>
      <w:r w:rsidR="0085716F">
        <w:t>DFSI</w:t>
      </w:r>
      <w:r w:rsidR="00673E94">
        <w:t xml:space="preserve">. </w:t>
      </w:r>
    </w:p>
    <w:p w14:paraId="082E5532" w14:textId="77777777" w:rsidR="00872102" w:rsidRDefault="00872102" w:rsidP="00C1573F">
      <w:pPr>
        <w:pStyle w:val="Clausenonumber"/>
        <w:ind w:left="0"/>
      </w:pPr>
    </w:p>
    <w:p w14:paraId="748709CC" w14:textId="77777777" w:rsidR="00B305FC" w:rsidRDefault="00B305FC" w:rsidP="00357914">
      <w:pPr>
        <w:pStyle w:val="ClauseHeading"/>
      </w:pPr>
      <w:bookmarkStart w:id="1" w:name="_Toc110911959"/>
      <w:bookmarkStart w:id="2" w:name="_Toc169682115"/>
      <w:bookmarkStart w:id="3" w:name="_Toc174951983"/>
      <w:bookmarkStart w:id="4" w:name="_Toc174952089"/>
      <w:bookmarkStart w:id="5" w:name="_Toc273633605"/>
      <w:r>
        <w:t>Compliance with laws and policies</w:t>
      </w:r>
    </w:p>
    <w:bookmarkEnd w:id="1"/>
    <w:bookmarkEnd w:id="2"/>
    <w:bookmarkEnd w:id="3"/>
    <w:bookmarkEnd w:id="4"/>
    <w:bookmarkEnd w:id="5"/>
    <w:p w14:paraId="7B8FBE82" w14:textId="77777777" w:rsidR="00B979EF" w:rsidRDefault="00B305FC" w:rsidP="00C1573F">
      <w:pPr>
        <w:pStyle w:val="Clausenumber"/>
        <w:numPr>
          <w:ilvl w:val="0"/>
          <w:numId w:val="0"/>
        </w:numPr>
      </w:pPr>
      <w:r w:rsidRPr="00636DC0">
        <w:t>C</w:t>
      </w:r>
      <w:r w:rsidR="005E6F5F" w:rsidRPr="00491DFB">
        <w:t>ontractor</w:t>
      </w:r>
      <w:r w:rsidRPr="00357914">
        <w:t>s</w:t>
      </w:r>
      <w:r w:rsidRPr="00F708F8">
        <w:t xml:space="preserve"> prequalified under this Scheme must </w:t>
      </w:r>
      <w:r w:rsidR="001F558B" w:rsidRPr="00F708F8">
        <w:t xml:space="preserve">comply with </w:t>
      </w:r>
      <w:r w:rsidRPr="00F708F8">
        <w:t xml:space="preserve">all relevant laws and </w:t>
      </w:r>
      <w:r w:rsidR="003E5DAF">
        <w:t xml:space="preserve">NSW Government </w:t>
      </w:r>
      <w:r w:rsidRPr="00F708F8">
        <w:t>policies.</w:t>
      </w:r>
      <w:r w:rsidR="00B979EF">
        <w:t xml:space="preserve"> In </w:t>
      </w:r>
      <w:proofErr w:type="gramStart"/>
      <w:r w:rsidR="00B979EF">
        <w:t>submitting an application</w:t>
      </w:r>
      <w:proofErr w:type="gramEnd"/>
      <w:r w:rsidR="00B979EF">
        <w:t>, applicants declare that they are not subject to an ICAC inquiry or similar inquiry in another jurisdiction.</w:t>
      </w:r>
    </w:p>
    <w:p w14:paraId="548C748A" w14:textId="77777777" w:rsidR="00B305FC" w:rsidRPr="00F3754E" w:rsidRDefault="00B305FC" w:rsidP="008F7E83">
      <w:pPr>
        <w:jc w:val="both"/>
        <w:rPr>
          <w:rFonts w:ascii="Arial" w:hAnsi="Arial" w:cs="Arial"/>
          <w:sz w:val="22"/>
          <w:szCs w:val="22"/>
        </w:rPr>
      </w:pPr>
    </w:p>
    <w:p w14:paraId="2B5FC0F4" w14:textId="77777777" w:rsidR="00B2169D" w:rsidRDefault="00B305FC" w:rsidP="00C1573F">
      <w:pPr>
        <w:pStyle w:val="Clausenumber"/>
        <w:numPr>
          <w:ilvl w:val="0"/>
          <w:numId w:val="0"/>
        </w:numPr>
      </w:pPr>
      <w:r w:rsidRPr="00F3754E">
        <w:t>Contractors must comply with</w:t>
      </w:r>
      <w:r w:rsidRPr="003B093A">
        <w:t xml:space="preserve"> the </w:t>
      </w:r>
      <w:r w:rsidR="00552865">
        <w:t xml:space="preserve">NSW Government </w:t>
      </w:r>
      <w:r w:rsidRPr="003B093A">
        <w:rPr>
          <w:i/>
        </w:rPr>
        <w:t xml:space="preserve">Code of Practice </w:t>
      </w:r>
      <w:r w:rsidR="00552865">
        <w:rPr>
          <w:i/>
        </w:rPr>
        <w:t xml:space="preserve">for Procurement </w:t>
      </w:r>
      <w:r w:rsidRPr="003B093A">
        <w:t xml:space="preserve">and may be requested from time to time to provide evidence </w:t>
      </w:r>
      <w:r w:rsidR="006D29FA">
        <w:t>of</w:t>
      </w:r>
      <w:r w:rsidR="00F3754E" w:rsidRPr="00F3754E">
        <w:t xml:space="preserve"> </w:t>
      </w:r>
      <w:r w:rsidRPr="00F3754E">
        <w:t>meeting requirements set out in the Code.</w:t>
      </w:r>
    </w:p>
    <w:p w14:paraId="137A1CEC" w14:textId="77777777" w:rsidR="00B2169D" w:rsidRDefault="00B2169D" w:rsidP="00C1573F">
      <w:pPr>
        <w:pStyle w:val="Clausenumber"/>
        <w:numPr>
          <w:ilvl w:val="0"/>
          <w:numId w:val="0"/>
        </w:numPr>
      </w:pPr>
    </w:p>
    <w:p w14:paraId="4EB439C3" w14:textId="77777777" w:rsidR="001F558B" w:rsidRPr="003B093A" w:rsidRDefault="00150A59" w:rsidP="00357914">
      <w:pPr>
        <w:pStyle w:val="ClauseHeading"/>
      </w:pPr>
      <w:r>
        <w:t>Types of prequalified contractor</w:t>
      </w:r>
      <w:r w:rsidR="00BF172C">
        <w:t xml:space="preserve"> </w:t>
      </w:r>
    </w:p>
    <w:p w14:paraId="7318D83C" w14:textId="77777777" w:rsidR="00520561" w:rsidRDefault="00DB1C6C" w:rsidP="00520561">
      <w:pPr>
        <w:pStyle w:val="Clausenumber"/>
        <w:numPr>
          <w:ilvl w:val="0"/>
          <w:numId w:val="0"/>
        </w:numPr>
        <w:ind w:left="432" w:hanging="432"/>
      </w:pPr>
      <w:r>
        <w:t xml:space="preserve">Applicants can </w:t>
      </w:r>
      <w:r w:rsidR="00677015">
        <w:t>apply to be</w:t>
      </w:r>
      <w:r w:rsidR="001D275F">
        <w:t xml:space="preserve"> a:</w:t>
      </w:r>
    </w:p>
    <w:p w14:paraId="1B2C734E" w14:textId="77777777" w:rsidR="001D275F" w:rsidRPr="00520561" w:rsidRDefault="00677015" w:rsidP="00086EE7">
      <w:pPr>
        <w:numPr>
          <w:ilvl w:val="0"/>
          <w:numId w:val="10"/>
        </w:numPr>
        <w:rPr>
          <w:rFonts w:ascii="Arial" w:hAnsi="Arial" w:cs="Arial"/>
          <w:sz w:val="22"/>
          <w:szCs w:val="22"/>
        </w:rPr>
      </w:pPr>
      <w:r w:rsidRPr="00520561">
        <w:rPr>
          <w:rFonts w:ascii="Arial" w:hAnsi="Arial" w:cs="Arial"/>
          <w:sz w:val="22"/>
          <w:szCs w:val="22"/>
        </w:rPr>
        <w:t xml:space="preserve">Registered </w:t>
      </w:r>
      <w:r w:rsidR="00642A6A" w:rsidRPr="00520561">
        <w:rPr>
          <w:rFonts w:ascii="Arial" w:hAnsi="Arial" w:cs="Arial"/>
          <w:sz w:val="22"/>
          <w:szCs w:val="22"/>
        </w:rPr>
        <w:t xml:space="preserve">Contractor </w:t>
      </w:r>
      <w:r w:rsidRPr="00520561">
        <w:rPr>
          <w:rFonts w:ascii="Arial" w:hAnsi="Arial" w:cs="Arial"/>
          <w:sz w:val="22"/>
          <w:szCs w:val="22"/>
        </w:rPr>
        <w:t xml:space="preserve">for </w:t>
      </w:r>
      <w:r w:rsidR="00150A59" w:rsidRPr="00520561">
        <w:rPr>
          <w:rFonts w:ascii="Arial" w:hAnsi="Arial" w:cs="Arial"/>
          <w:sz w:val="22"/>
          <w:szCs w:val="22"/>
        </w:rPr>
        <w:t xml:space="preserve">contracts </w:t>
      </w:r>
      <w:r w:rsidRPr="00520561">
        <w:rPr>
          <w:rFonts w:ascii="Arial" w:hAnsi="Arial" w:cs="Arial"/>
          <w:sz w:val="22"/>
          <w:szCs w:val="22"/>
        </w:rPr>
        <w:t>valued up to</w:t>
      </w:r>
      <w:r w:rsidR="00642A6A" w:rsidRPr="00520561">
        <w:rPr>
          <w:rFonts w:ascii="Arial" w:hAnsi="Arial" w:cs="Arial"/>
          <w:sz w:val="22"/>
          <w:szCs w:val="22"/>
        </w:rPr>
        <w:t xml:space="preserve"> </w:t>
      </w:r>
      <w:r w:rsidRPr="00520561">
        <w:rPr>
          <w:rFonts w:ascii="Arial" w:hAnsi="Arial" w:cs="Arial"/>
          <w:sz w:val="22"/>
          <w:szCs w:val="22"/>
        </w:rPr>
        <w:t>$</w:t>
      </w:r>
      <w:r w:rsidR="00E256D7">
        <w:rPr>
          <w:rFonts w:ascii="Arial" w:hAnsi="Arial" w:cs="Arial"/>
          <w:sz w:val="22"/>
          <w:szCs w:val="22"/>
        </w:rPr>
        <w:t>1</w:t>
      </w:r>
      <w:r w:rsidRPr="00520561">
        <w:rPr>
          <w:rFonts w:ascii="Arial" w:hAnsi="Arial" w:cs="Arial"/>
          <w:sz w:val="22"/>
          <w:szCs w:val="22"/>
        </w:rPr>
        <w:t xml:space="preserve">50,000 </w:t>
      </w:r>
      <w:r w:rsidR="001D275F" w:rsidRPr="00520561">
        <w:rPr>
          <w:rFonts w:ascii="Arial" w:hAnsi="Arial" w:cs="Arial"/>
          <w:sz w:val="22"/>
          <w:szCs w:val="22"/>
        </w:rPr>
        <w:t>and/or</w:t>
      </w:r>
    </w:p>
    <w:p w14:paraId="13503468" w14:textId="77777777" w:rsidR="00F3754E" w:rsidRPr="00520561" w:rsidRDefault="001D275F" w:rsidP="00086EE7">
      <w:pPr>
        <w:numPr>
          <w:ilvl w:val="0"/>
          <w:numId w:val="10"/>
        </w:numPr>
        <w:rPr>
          <w:rFonts w:ascii="Arial" w:hAnsi="Arial" w:cs="Arial"/>
          <w:sz w:val="22"/>
          <w:szCs w:val="22"/>
        </w:rPr>
      </w:pPr>
      <w:r w:rsidRPr="00520561">
        <w:rPr>
          <w:rFonts w:ascii="Arial" w:hAnsi="Arial" w:cs="Arial"/>
          <w:sz w:val="22"/>
          <w:szCs w:val="22"/>
        </w:rPr>
        <w:t xml:space="preserve">Certified </w:t>
      </w:r>
      <w:r w:rsidR="00642A6A" w:rsidRPr="00520561">
        <w:rPr>
          <w:rFonts w:ascii="Arial" w:hAnsi="Arial" w:cs="Arial"/>
          <w:sz w:val="22"/>
          <w:szCs w:val="22"/>
        </w:rPr>
        <w:t xml:space="preserve">Contractor </w:t>
      </w:r>
      <w:r w:rsidR="00DB1C6C" w:rsidRPr="00520561">
        <w:rPr>
          <w:rFonts w:ascii="Arial" w:hAnsi="Arial" w:cs="Arial"/>
          <w:sz w:val="22"/>
          <w:szCs w:val="22"/>
        </w:rPr>
        <w:t>for contracts valued</w:t>
      </w:r>
      <w:r w:rsidR="00677015" w:rsidRPr="00520561">
        <w:rPr>
          <w:rFonts w:ascii="Arial" w:hAnsi="Arial" w:cs="Arial"/>
          <w:sz w:val="22"/>
          <w:szCs w:val="22"/>
        </w:rPr>
        <w:t xml:space="preserve"> b</w:t>
      </w:r>
      <w:r w:rsidR="00DB1C6C" w:rsidRPr="00520561">
        <w:rPr>
          <w:rFonts w:ascii="Arial" w:hAnsi="Arial" w:cs="Arial"/>
          <w:sz w:val="22"/>
          <w:szCs w:val="22"/>
        </w:rPr>
        <w:t>etween</w:t>
      </w:r>
      <w:r w:rsidR="00C1573F" w:rsidRPr="00520561">
        <w:rPr>
          <w:rFonts w:ascii="Arial" w:hAnsi="Arial" w:cs="Arial"/>
          <w:sz w:val="22"/>
          <w:szCs w:val="22"/>
        </w:rPr>
        <w:t xml:space="preserve"> </w:t>
      </w:r>
      <w:r w:rsidR="00F3754E" w:rsidRPr="00520561">
        <w:rPr>
          <w:rFonts w:ascii="Arial" w:hAnsi="Arial" w:cs="Arial"/>
          <w:sz w:val="22"/>
          <w:szCs w:val="22"/>
        </w:rPr>
        <w:t>$</w:t>
      </w:r>
      <w:r w:rsidR="00E256D7">
        <w:rPr>
          <w:rFonts w:ascii="Arial" w:hAnsi="Arial" w:cs="Arial"/>
          <w:sz w:val="22"/>
          <w:szCs w:val="22"/>
        </w:rPr>
        <w:t>1</w:t>
      </w:r>
      <w:r w:rsidR="00F3754E" w:rsidRPr="00520561">
        <w:rPr>
          <w:rFonts w:ascii="Arial" w:hAnsi="Arial" w:cs="Arial"/>
          <w:sz w:val="22"/>
          <w:szCs w:val="22"/>
        </w:rPr>
        <w:t xml:space="preserve">50,000 </w:t>
      </w:r>
      <w:r w:rsidR="00DB1C6C" w:rsidRPr="00520561">
        <w:rPr>
          <w:rFonts w:ascii="Arial" w:hAnsi="Arial" w:cs="Arial"/>
          <w:sz w:val="22"/>
          <w:szCs w:val="22"/>
        </w:rPr>
        <w:t>and</w:t>
      </w:r>
      <w:r w:rsidR="00642A6A" w:rsidRPr="00520561">
        <w:rPr>
          <w:rFonts w:ascii="Arial" w:hAnsi="Arial" w:cs="Arial"/>
          <w:sz w:val="22"/>
          <w:szCs w:val="22"/>
        </w:rPr>
        <w:t xml:space="preserve"> </w:t>
      </w:r>
      <w:r w:rsidR="00F3754E" w:rsidRPr="00520561">
        <w:rPr>
          <w:rFonts w:ascii="Arial" w:hAnsi="Arial" w:cs="Arial"/>
          <w:sz w:val="22"/>
          <w:szCs w:val="22"/>
        </w:rPr>
        <w:t>$1 million</w:t>
      </w:r>
    </w:p>
    <w:p w14:paraId="06F72EAF" w14:textId="77777777" w:rsidR="00B979EF" w:rsidRDefault="00B979EF" w:rsidP="001D275F">
      <w:pPr>
        <w:jc w:val="both"/>
        <w:rPr>
          <w:rFonts w:ascii="Arial" w:hAnsi="Arial" w:cs="Arial"/>
          <w:sz w:val="22"/>
        </w:rPr>
      </w:pPr>
    </w:p>
    <w:p w14:paraId="53C6AC31" w14:textId="77777777" w:rsidR="00150A59" w:rsidRDefault="00150A59" w:rsidP="001D275F">
      <w:pPr>
        <w:jc w:val="both"/>
        <w:rPr>
          <w:rFonts w:ascii="Arial" w:hAnsi="Arial" w:cs="Arial"/>
          <w:sz w:val="22"/>
        </w:rPr>
      </w:pPr>
      <w:r>
        <w:rPr>
          <w:rFonts w:ascii="Arial" w:hAnsi="Arial" w:cs="Arial"/>
          <w:sz w:val="22"/>
        </w:rPr>
        <w:t xml:space="preserve">Applicants may apply for prequalification in </w:t>
      </w:r>
      <w:r w:rsidR="001E12DE">
        <w:rPr>
          <w:rFonts w:ascii="Arial" w:hAnsi="Arial" w:cs="Arial"/>
          <w:sz w:val="22"/>
        </w:rPr>
        <w:t>categories</w:t>
      </w:r>
      <w:r>
        <w:rPr>
          <w:rFonts w:ascii="Arial" w:hAnsi="Arial" w:cs="Arial"/>
          <w:sz w:val="22"/>
        </w:rPr>
        <w:t xml:space="preserve"> of </w:t>
      </w:r>
      <w:r w:rsidR="001E12DE">
        <w:rPr>
          <w:rFonts w:ascii="Arial" w:hAnsi="Arial" w:cs="Arial"/>
          <w:sz w:val="22"/>
        </w:rPr>
        <w:t>w</w:t>
      </w:r>
      <w:r>
        <w:rPr>
          <w:rFonts w:ascii="Arial" w:hAnsi="Arial" w:cs="Arial"/>
          <w:sz w:val="22"/>
        </w:rPr>
        <w:t>ork listed in Appendix B.</w:t>
      </w:r>
    </w:p>
    <w:p w14:paraId="07C8AB9F" w14:textId="77777777" w:rsidR="00150A59" w:rsidRDefault="00150A59" w:rsidP="001D275F">
      <w:pPr>
        <w:jc w:val="both"/>
        <w:rPr>
          <w:rFonts w:ascii="Arial" w:hAnsi="Arial" w:cs="Arial"/>
          <w:sz w:val="22"/>
        </w:rPr>
      </w:pPr>
    </w:p>
    <w:p w14:paraId="386CA1BE" w14:textId="77777777" w:rsidR="00C96409" w:rsidRDefault="00C96409" w:rsidP="00357914">
      <w:pPr>
        <w:pStyle w:val="ClauseHeading"/>
      </w:pPr>
      <w:r>
        <w:t xml:space="preserve">Application </w:t>
      </w:r>
      <w:r w:rsidR="00150A59">
        <w:t xml:space="preserve">process and </w:t>
      </w:r>
      <w:r>
        <w:t>requirements</w:t>
      </w:r>
    </w:p>
    <w:p w14:paraId="3A85CB98" w14:textId="77777777" w:rsidR="001E12DE" w:rsidRDefault="00150A59" w:rsidP="00150A59">
      <w:pPr>
        <w:pStyle w:val="Clausenumber"/>
        <w:numPr>
          <w:ilvl w:val="0"/>
          <w:numId w:val="0"/>
        </w:numPr>
        <w:ind w:left="432" w:hanging="432"/>
      </w:pPr>
      <w:r w:rsidRPr="003B093A">
        <w:t>A</w:t>
      </w:r>
      <w:r>
        <w:t>ll a</w:t>
      </w:r>
      <w:r w:rsidRPr="003B093A">
        <w:t xml:space="preserve">pplications </w:t>
      </w:r>
      <w:r>
        <w:t>must be</w:t>
      </w:r>
      <w:r w:rsidRPr="003B093A">
        <w:t xml:space="preserve"> made through the </w:t>
      </w:r>
      <w:proofErr w:type="spellStart"/>
      <w:r w:rsidRPr="003B093A">
        <w:t>eTendering</w:t>
      </w:r>
      <w:proofErr w:type="spellEnd"/>
      <w:r>
        <w:rPr>
          <w:b/>
        </w:rPr>
        <w:t xml:space="preserve"> </w:t>
      </w:r>
      <w:r w:rsidRPr="003B093A">
        <w:t>website</w:t>
      </w:r>
      <w:r w:rsidR="001E12DE">
        <w:t xml:space="preserve"> at</w:t>
      </w:r>
    </w:p>
    <w:p w14:paraId="39E04A54" w14:textId="77777777" w:rsidR="00150A59" w:rsidRDefault="00AE5E83" w:rsidP="00150A59">
      <w:pPr>
        <w:pStyle w:val="Clausenumber"/>
        <w:numPr>
          <w:ilvl w:val="0"/>
          <w:numId w:val="0"/>
        </w:numPr>
        <w:ind w:left="432" w:hanging="432"/>
      </w:pPr>
      <w:hyperlink r:id="rId14" w:history="1">
        <w:r w:rsidR="001E12DE" w:rsidRPr="007F148E">
          <w:rPr>
            <w:rStyle w:val="Hyperlink"/>
          </w:rPr>
          <w:t>www.tenders.nsw.gov.au</w:t>
        </w:r>
      </w:hyperlink>
    </w:p>
    <w:p w14:paraId="6C9056A0" w14:textId="77777777" w:rsidR="00150A59" w:rsidRDefault="00150A59" w:rsidP="00150A59">
      <w:pPr>
        <w:pStyle w:val="Clausenumber"/>
        <w:numPr>
          <w:ilvl w:val="0"/>
          <w:numId w:val="0"/>
        </w:numPr>
        <w:ind w:left="432" w:hanging="432"/>
      </w:pPr>
    </w:p>
    <w:p w14:paraId="7858175B" w14:textId="77777777" w:rsidR="00C96409" w:rsidRPr="003B093A" w:rsidRDefault="004B0C5F" w:rsidP="00C1573F">
      <w:pPr>
        <w:pStyle w:val="Clausenumber"/>
        <w:numPr>
          <w:ilvl w:val="0"/>
          <w:numId w:val="0"/>
        </w:numPr>
      </w:pPr>
      <w:r>
        <w:t>Registered Contractor</w:t>
      </w:r>
      <w:r w:rsidR="001D275F">
        <w:t>s must provide:</w:t>
      </w:r>
    </w:p>
    <w:p w14:paraId="6684F92A" w14:textId="77777777" w:rsidR="00C96409" w:rsidRPr="003B093A" w:rsidRDefault="001D275F" w:rsidP="00086EE7">
      <w:pPr>
        <w:numPr>
          <w:ilvl w:val="0"/>
          <w:numId w:val="4"/>
        </w:numPr>
        <w:ind w:left="720"/>
        <w:jc w:val="both"/>
        <w:rPr>
          <w:rFonts w:ascii="Arial" w:hAnsi="Arial" w:cs="Arial"/>
          <w:sz w:val="22"/>
        </w:rPr>
      </w:pPr>
      <w:r>
        <w:rPr>
          <w:rFonts w:ascii="Arial" w:hAnsi="Arial" w:cs="Arial"/>
          <w:sz w:val="22"/>
        </w:rPr>
        <w:t>o</w:t>
      </w:r>
      <w:r w:rsidR="00C96409" w:rsidRPr="003B093A">
        <w:rPr>
          <w:rFonts w:ascii="Arial" w:hAnsi="Arial" w:cs="Arial"/>
          <w:sz w:val="22"/>
        </w:rPr>
        <w:t>rganisational details</w:t>
      </w:r>
    </w:p>
    <w:p w14:paraId="1657AAE2" w14:textId="77777777" w:rsidR="00C96409" w:rsidRDefault="001D275F" w:rsidP="00086EE7">
      <w:pPr>
        <w:numPr>
          <w:ilvl w:val="0"/>
          <w:numId w:val="4"/>
        </w:numPr>
        <w:ind w:left="720"/>
        <w:jc w:val="both"/>
        <w:rPr>
          <w:rFonts w:ascii="Arial" w:hAnsi="Arial" w:cs="Arial"/>
          <w:sz w:val="22"/>
        </w:rPr>
      </w:pPr>
      <w:r>
        <w:rPr>
          <w:rFonts w:ascii="Arial" w:hAnsi="Arial" w:cs="Arial"/>
          <w:sz w:val="22"/>
        </w:rPr>
        <w:t xml:space="preserve">information about </w:t>
      </w:r>
      <w:r w:rsidR="00C96409" w:rsidRPr="003B093A">
        <w:rPr>
          <w:rFonts w:ascii="Arial" w:hAnsi="Arial" w:cs="Arial"/>
          <w:sz w:val="22"/>
        </w:rPr>
        <w:t>relevant occupational licenses or certification</w:t>
      </w:r>
    </w:p>
    <w:p w14:paraId="3C4365C9" w14:textId="77777777" w:rsidR="00502943" w:rsidRDefault="001D275F" w:rsidP="00086EE7">
      <w:pPr>
        <w:numPr>
          <w:ilvl w:val="0"/>
          <w:numId w:val="4"/>
        </w:numPr>
        <w:ind w:left="720"/>
        <w:jc w:val="both"/>
        <w:rPr>
          <w:rFonts w:ascii="Arial" w:hAnsi="Arial" w:cs="Arial"/>
          <w:sz w:val="22"/>
        </w:rPr>
      </w:pPr>
      <w:r>
        <w:rPr>
          <w:rFonts w:ascii="Arial" w:hAnsi="Arial" w:cs="Arial"/>
          <w:sz w:val="22"/>
        </w:rPr>
        <w:t xml:space="preserve">information about </w:t>
      </w:r>
      <w:r w:rsidR="00502943">
        <w:rPr>
          <w:rFonts w:ascii="Arial" w:hAnsi="Arial" w:cs="Arial"/>
          <w:sz w:val="22"/>
        </w:rPr>
        <w:t xml:space="preserve">relevant </w:t>
      </w:r>
      <w:r>
        <w:rPr>
          <w:rFonts w:ascii="Arial" w:hAnsi="Arial" w:cs="Arial"/>
          <w:sz w:val="22"/>
        </w:rPr>
        <w:t xml:space="preserve">skills and </w:t>
      </w:r>
      <w:r w:rsidR="00502943">
        <w:rPr>
          <w:rFonts w:ascii="Arial" w:hAnsi="Arial" w:cs="Arial"/>
          <w:sz w:val="22"/>
        </w:rPr>
        <w:t>experience</w:t>
      </w:r>
      <w:r w:rsidR="00253BE7">
        <w:rPr>
          <w:rFonts w:ascii="Arial" w:hAnsi="Arial" w:cs="Arial"/>
          <w:sz w:val="22"/>
        </w:rPr>
        <w:t xml:space="preserve"> </w:t>
      </w:r>
      <w:r w:rsidR="00552865">
        <w:rPr>
          <w:rFonts w:ascii="Arial" w:hAnsi="Arial" w:cs="Arial"/>
          <w:sz w:val="22"/>
        </w:rPr>
        <w:t>including referee reports</w:t>
      </w:r>
    </w:p>
    <w:p w14:paraId="00A4A704" w14:textId="77777777" w:rsidR="002F6378" w:rsidRDefault="001D275F" w:rsidP="00086EE7">
      <w:pPr>
        <w:numPr>
          <w:ilvl w:val="0"/>
          <w:numId w:val="4"/>
        </w:numPr>
        <w:ind w:left="720"/>
        <w:jc w:val="both"/>
        <w:rPr>
          <w:rFonts w:ascii="Arial" w:hAnsi="Arial" w:cs="Arial"/>
          <w:sz w:val="22"/>
        </w:rPr>
      </w:pPr>
      <w:r>
        <w:rPr>
          <w:rFonts w:ascii="Arial" w:hAnsi="Arial" w:cs="Arial"/>
          <w:sz w:val="22"/>
        </w:rPr>
        <w:t>d</w:t>
      </w:r>
      <w:r w:rsidR="002F6378">
        <w:rPr>
          <w:rFonts w:ascii="Arial" w:hAnsi="Arial" w:cs="Arial"/>
          <w:sz w:val="22"/>
        </w:rPr>
        <w:t>etail</w:t>
      </w:r>
      <w:r w:rsidR="004C478A">
        <w:rPr>
          <w:rFonts w:ascii="Arial" w:hAnsi="Arial" w:cs="Arial"/>
          <w:sz w:val="22"/>
        </w:rPr>
        <w:t>s of</w:t>
      </w:r>
      <w:r w:rsidR="002F6378">
        <w:rPr>
          <w:rFonts w:ascii="Arial" w:hAnsi="Arial" w:cs="Arial"/>
          <w:sz w:val="22"/>
        </w:rPr>
        <w:t xml:space="preserve"> all fines, prosecutions, and convictions in the last 2 years</w:t>
      </w:r>
    </w:p>
    <w:p w14:paraId="47A7F382" w14:textId="77777777" w:rsidR="0055129C" w:rsidRPr="003B093A" w:rsidRDefault="0055129C" w:rsidP="001D275F">
      <w:pPr>
        <w:jc w:val="both"/>
        <w:rPr>
          <w:rFonts w:ascii="Arial" w:hAnsi="Arial" w:cs="Arial"/>
          <w:sz w:val="22"/>
        </w:rPr>
      </w:pPr>
    </w:p>
    <w:p w14:paraId="11359EC4" w14:textId="77777777" w:rsidR="001D275F" w:rsidRDefault="00EB41B8" w:rsidP="001D275F">
      <w:pPr>
        <w:pStyle w:val="Clausenumber"/>
        <w:numPr>
          <w:ilvl w:val="0"/>
          <w:numId w:val="0"/>
        </w:numPr>
      </w:pPr>
      <w:r>
        <w:t xml:space="preserve">Certified </w:t>
      </w:r>
      <w:r w:rsidR="00642A6A">
        <w:t>Contractor</w:t>
      </w:r>
      <w:r w:rsidR="001D275F">
        <w:t>s</w:t>
      </w:r>
      <w:r w:rsidR="00642A6A">
        <w:t xml:space="preserve"> </w:t>
      </w:r>
      <w:r w:rsidR="001D275F">
        <w:t>must provide all the information required to become a Registered Contractor, plus:</w:t>
      </w:r>
    </w:p>
    <w:p w14:paraId="511890A8" w14:textId="77777777" w:rsidR="001D275F" w:rsidRDefault="00B2169D" w:rsidP="00086EE7">
      <w:pPr>
        <w:pStyle w:val="Clausenumber"/>
        <w:numPr>
          <w:ilvl w:val="0"/>
          <w:numId w:val="4"/>
        </w:numPr>
        <w:ind w:left="709" w:hanging="283"/>
      </w:pPr>
      <w:r>
        <w:t xml:space="preserve">for each Category of Work being applied for, at least </w:t>
      </w:r>
      <w:r w:rsidR="001D275F">
        <w:t>o</w:t>
      </w:r>
      <w:r w:rsidR="00E305FC">
        <w:t>ne completed</w:t>
      </w:r>
      <w:r w:rsidR="00482AA1">
        <w:t>:</w:t>
      </w:r>
    </w:p>
    <w:p w14:paraId="36725380" w14:textId="77777777" w:rsidR="001D275F" w:rsidRDefault="00E305FC" w:rsidP="00086EE7">
      <w:pPr>
        <w:pStyle w:val="Clausenumber"/>
        <w:numPr>
          <w:ilvl w:val="1"/>
          <w:numId w:val="10"/>
        </w:numPr>
      </w:pPr>
      <w:r>
        <w:t xml:space="preserve">client referee report OR </w:t>
      </w:r>
    </w:p>
    <w:p w14:paraId="5AFA2080" w14:textId="77777777" w:rsidR="001D275F" w:rsidRDefault="00E305FC" w:rsidP="00086EE7">
      <w:pPr>
        <w:pStyle w:val="Clausenumber"/>
        <w:numPr>
          <w:ilvl w:val="1"/>
          <w:numId w:val="10"/>
        </w:numPr>
      </w:pPr>
      <w:r>
        <w:t xml:space="preserve">Contractor Performance Report OR </w:t>
      </w:r>
    </w:p>
    <w:p w14:paraId="48BDC7E2" w14:textId="77777777" w:rsidR="001D275F" w:rsidRDefault="00E305FC" w:rsidP="00086EE7">
      <w:pPr>
        <w:pStyle w:val="Clausenumber"/>
        <w:numPr>
          <w:ilvl w:val="1"/>
          <w:numId w:val="10"/>
        </w:numPr>
      </w:pPr>
      <w:r>
        <w:t>your own completed referee report</w:t>
      </w:r>
      <w:r w:rsidR="005C34BB">
        <w:t xml:space="preserve"> with client contact details</w:t>
      </w:r>
    </w:p>
    <w:p w14:paraId="33AA0CD5" w14:textId="77777777" w:rsidR="00291EB4" w:rsidRDefault="001D275F" w:rsidP="00086EE7">
      <w:pPr>
        <w:pStyle w:val="Clausenumber"/>
        <w:numPr>
          <w:ilvl w:val="0"/>
          <w:numId w:val="4"/>
        </w:numPr>
        <w:ind w:left="709" w:hanging="283"/>
      </w:pPr>
      <w:r w:rsidRPr="001D275F">
        <w:t>o</w:t>
      </w:r>
      <w:r w:rsidR="00E305FC" w:rsidRPr="001D275F">
        <w:t xml:space="preserve">ne </w:t>
      </w:r>
      <w:r w:rsidR="005C34BB">
        <w:t>site safety audit/safety inspection report that demonstrates capacity to implement a</w:t>
      </w:r>
      <w:r w:rsidR="00E305FC" w:rsidRPr="001D275F">
        <w:t xml:space="preserve"> </w:t>
      </w:r>
      <w:r w:rsidR="00EC5F85">
        <w:t xml:space="preserve">Work Health </w:t>
      </w:r>
      <w:r w:rsidR="00100B09" w:rsidRPr="001D275F">
        <w:t>S</w:t>
      </w:r>
      <w:r w:rsidR="00E305FC" w:rsidRPr="001D275F">
        <w:t xml:space="preserve">afety </w:t>
      </w:r>
      <w:r w:rsidR="00100B09" w:rsidRPr="001D275F">
        <w:t>M</w:t>
      </w:r>
      <w:r w:rsidR="00E305FC" w:rsidRPr="001D275F">
        <w:t xml:space="preserve">anagement </w:t>
      </w:r>
      <w:r w:rsidR="00100B09" w:rsidRPr="001D275F">
        <w:t>P</w:t>
      </w:r>
      <w:r w:rsidR="00E305FC" w:rsidRPr="001D275F">
        <w:t xml:space="preserve">lan on a project within the last </w:t>
      </w:r>
      <w:r w:rsidRPr="001D275F">
        <w:t xml:space="preserve">two </w:t>
      </w:r>
      <w:r w:rsidR="00E305FC" w:rsidRPr="001D275F">
        <w:t>years</w:t>
      </w:r>
      <w:r w:rsidR="003F3726">
        <w:t xml:space="preserve"> or evidence of accreditation under the Australian Government Building and Construction WHS Scheme</w:t>
      </w:r>
    </w:p>
    <w:p w14:paraId="1DBB1827" w14:textId="77777777" w:rsidR="00E31AA7" w:rsidRDefault="006D29FA" w:rsidP="00086EE7">
      <w:pPr>
        <w:pStyle w:val="Clausenumber"/>
        <w:numPr>
          <w:ilvl w:val="0"/>
          <w:numId w:val="4"/>
        </w:numPr>
        <w:ind w:left="709" w:hanging="283"/>
      </w:pPr>
      <w:r w:rsidRPr="00291EB4">
        <w:t>o</w:t>
      </w:r>
      <w:r w:rsidR="00E31AA7" w:rsidRPr="00291EB4">
        <w:t xml:space="preserve">ne </w:t>
      </w:r>
      <w:r w:rsidR="00934013">
        <w:t>example</w:t>
      </w:r>
      <w:r w:rsidR="00934013" w:rsidRPr="00291EB4">
        <w:t xml:space="preserve"> </w:t>
      </w:r>
      <w:r w:rsidR="00E31AA7" w:rsidRPr="00291EB4">
        <w:t>of a</w:t>
      </w:r>
      <w:r w:rsidR="001D275F" w:rsidRPr="00291EB4">
        <w:t xml:space="preserve"> Quality Assurance </w:t>
      </w:r>
      <w:r w:rsidR="00E31AA7" w:rsidRPr="00291EB4">
        <w:t xml:space="preserve">Inspection and Test Plan </w:t>
      </w:r>
      <w:r w:rsidR="00FF5A85">
        <w:t xml:space="preserve">(ITP) </w:t>
      </w:r>
      <w:r w:rsidR="00E31AA7" w:rsidRPr="00291EB4">
        <w:t xml:space="preserve">developed and implemented within the last </w:t>
      </w:r>
      <w:r w:rsidR="001D275F" w:rsidRPr="00291EB4">
        <w:t xml:space="preserve">two </w:t>
      </w:r>
      <w:r w:rsidR="00E31AA7" w:rsidRPr="00291EB4">
        <w:t>years</w:t>
      </w:r>
      <w:r w:rsidR="001D275F" w:rsidRPr="00291EB4">
        <w:t>.</w:t>
      </w:r>
    </w:p>
    <w:p w14:paraId="2D9A62AA" w14:textId="77777777" w:rsidR="00947A05" w:rsidRDefault="00947A05" w:rsidP="00947A05">
      <w:pPr>
        <w:pStyle w:val="Clausenumber"/>
        <w:numPr>
          <w:ilvl w:val="0"/>
          <w:numId w:val="0"/>
        </w:numPr>
        <w:rPr>
          <w:highlight w:val="yellow"/>
        </w:rPr>
      </w:pPr>
    </w:p>
    <w:p w14:paraId="16C7ED13" w14:textId="77777777" w:rsidR="00947A05" w:rsidRDefault="00947A05" w:rsidP="00947A05">
      <w:pPr>
        <w:pStyle w:val="Clausenumber"/>
        <w:numPr>
          <w:ilvl w:val="0"/>
          <w:numId w:val="0"/>
        </w:numPr>
      </w:pPr>
      <w:r w:rsidRPr="00E256D7">
        <w:t xml:space="preserve">Prequalified contractors agree that offers of work </w:t>
      </w:r>
      <w:r w:rsidR="004A2FF7" w:rsidRPr="00E256D7">
        <w:t xml:space="preserve">under the Scheme </w:t>
      </w:r>
      <w:r w:rsidRPr="00E256D7">
        <w:t xml:space="preserve">are subject to </w:t>
      </w:r>
      <w:r w:rsidR="00631000" w:rsidRPr="00E256D7">
        <w:t xml:space="preserve">acceptance of </w:t>
      </w:r>
      <w:r w:rsidRPr="00E256D7">
        <w:t>the standard contract terms and conditions outlined at section 12 of these Scheme Conditions.</w:t>
      </w:r>
    </w:p>
    <w:p w14:paraId="2CAD92E4" w14:textId="58A526B1" w:rsidR="00A03505" w:rsidRDefault="00A03505" w:rsidP="00947A05">
      <w:pPr>
        <w:pStyle w:val="Clausenumber"/>
        <w:numPr>
          <w:ilvl w:val="0"/>
          <w:numId w:val="0"/>
        </w:numPr>
      </w:pPr>
    </w:p>
    <w:p w14:paraId="117229C5" w14:textId="77777777" w:rsidR="00737344" w:rsidRPr="002B38D8" w:rsidRDefault="00737344" w:rsidP="00737344">
      <w:pPr>
        <w:pStyle w:val="ClauseHeading"/>
        <w:numPr>
          <w:ilvl w:val="0"/>
          <w:numId w:val="0"/>
        </w:numPr>
        <w:jc w:val="both"/>
        <w:rPr>
          <w:b w:val="0"/>
        </w:rPr>
      </w:pPr>
      <w:r>
        <w:rPr>
          <w:b w:val="0"/>
        </w:rPr>
        <w:t>Contractor must be prequalified under the scheme prior to the date of issue of the agency Request for Tender (RFT). Only then the contractor can be engaged by agency under this scheme.</w:t>
      </w:r>
    </w:p>
    <w:p w14:paraId="535FF406" w14:textId="77777777" w:rsidR="001D275F" w:rsidRDefault="001D275F" w:rsidP="003B093A">
      <w:pPr>
        <w:jc w:val="both"/>
        <w:rPr>
          <w:rFonts w:ascii="Arial" w:hAnsi="Arial" w:cs="Arial"/>
          <w:sz w:val="22"/>
        </w:rPr>
      </w:pPr>
    </w:p>
    <w:p w14:paraId="2321734E" w14:textId="77777777" w:rsidR="001F558B" w:rsidRDefault="001F558B" w:rsidP="00357914">
      <w:pPr>
        <w:pStyle w:val="ClauseHeading"/>
      </w:pPr>
      <w:bookmarkStart w:id="6" w:name="_Toc110911960"/>
      <w:bookmarkStart w:id="7" w:name="_Toc169682116"/>
      <w:bookmarkStart w:id="8" w:name="_Toc174951984"/>
      <w:bookmarkStart w:id="9" w:name="_Toc174952090"/>
      <w:bookmarkStart w:id="10" w:name="_Toc273633606"/>
      <w:r w:rsidRPr="007F668F">
        <w:lastRenderedPageBreak/>
        <w:t xml:space="preserve">Legal </w:t>
      </w:r>
      <w:r w:rsidR="00F708F8">
        <w:t>e</w:t>
      </w:r>
      <w:r w:rsidRPr="007F668F">
        <w:t xml:space="preserve">ntity and </w:t>
      </w:r>
      <w:r w:rsidR="00F708F8">
        <w:t>b</w:t>
      </w:r>
      <w:r w:rsidRPr="007F668F">
        <w:t xml:space="preserve">usiness </w:t>
      </w:r>
      <w:r w:rsidR="00F708F8">
        <w:t>o</w:t>
      </w:r>
      <w:r w:rsidRPr="007F668F">
        <w:t>perations</w:t>
      </w:r>
      <w:bookmarkEnd w:id="6"/>
      <w:bookmarkEnd w:id="7"/>
      <w:bookmarkEnd w:id="8"/>
      <w:bookmarkEnd w:id="9"/>
      <w:bookmarkEnd w:id="10"/>
    </w:p>
    <w:p w14:paraId="55514B1B" w14:textId="77777777" w:rsidR="00507F56" w:rsidRPr="00B2084B" w:rsidRDefault="00291EB4" w:rsidP="00507F56">
      <w:pPr>
        <w:pStyle w:val="Clausenumber"/>
        <w:numPr>
          <w:ilvl w:val="0"/>
          <w:numId w:val="0"/>
        </w:numPr>
      </w:pPr>
      <w:r>
        <w:t>C</w:t>
      </w:r>
      <w:r w:rsidR="001F558B" w:rsidRPr="00B2084B">
        <w:t xml:space="preserve">ontractors </w:t>
      </w:r>
      <w:r>
        <w:t xml:space="preserve">must be </w:t>
      </w:r>
      <w:r w:rsidR="001F558B" w:rsidRPr="00B2084B">
        <w:t>recognised and acceptable legal entities</w:t>
      </w:r>
      <w:r w:rsidR="00B2169D">
        <w:t xml:space="preserve"> </w:t>
      </w:r>
      <w:r>
        <w:t xml:space="preserve">to be eligible to </w:t>
      </w:r>
      <w:r w:rsidR="00B2169D">
        <w:t>be prequalified under the Scheme</w:t>
      </w:r>
      <w:r w:rsidR="001F558B" w:rsidRPr="00B2084B">
        <w:t>.</w:t>
      </w:r>
      <w:r w:rsidR="00507F56">
        <w:t xml:space="preserve"> </w:t>
      </w:r>
      <w:r w:rsidR="00507F56" w:rsidRPr="00B2084B">
        <w:t xml:space="preserve">Contractors trading under a </w:t>
      </w:r>
      <w:r w:rsidR="00507F56">
        <w:t>t</w:t>
      </w:r>
      <w:r w:rsidR="00507F56" w:rsidRPr="00B2084B">
        <w:t xml:space="preserve">rustee company arrangement must demonstrate that they meet the Scheme </w:t>
      </w:r>
      <w:r w:rsidR="00507F56">
        <w:t>Conditions.</w:t>
      </w:r>
    </w:p>
    <w:p w14:paraId="2ABB277F" w14:textId="77777777" w:rsidR="00507F56" w:rsidRPr="00B2084B" w:rsidRDefault="00507F56" w:rsidP="00507F56">
      <w:pPr>
        <w:jc w:val="both"/>
        <w:rPr>
          <w:rFonts w:ascii="Arial" w:hAnsi="Arial" w:cs="Arial"/>
          <w:sz w:val="22"/>
          <w:szCs w:val="22"/>
        </w:rPr>
      </w:pPr>
    </w:p>
    <w:p w14:paraId="68E7010F" w14:textId="77777777" w:rsidR="00B2169D" w:rsidRDefault="00B2169D" w:rsidP="00C1573F">
      <w:pPr>
        <w:pStyle w:val="Clausenumber"/>
        <w:numPr>
          <w:ilvl w:val="0"/>
          <w:numId w:val="0"/>
        </w:numPr>
      </w:pPr>
      <w:r>
        <w:t xml:space="preserve">Any </w:t>
      </w:r>
      <w:r w:rsidR="00EF61A3" w:rsidRPr="00B2084B">
        <w:t xml:space="preserve">business </w:t>
      </w:r>
      <w:r w:rsidR="001F558B" w:rsidRPr="00B2084B">
        <w:t>that is under any form of external administration</w:t>
      </w:r>
      <w:r>
        <w:t xml:space="preserve"> will not be prequalified under the Scheme</w:t>
      </w:r>
      <w:r w:rsidR="001F558B" w:rsidRPr="00B2084B">
        <w:t xml:space="preserve">. </w:t>
      </w:r>
    </w:p>
    <w:p w14:paraId="0120990F" w14:textId="77777777" w:rsidR="00B2169D" w:rsidRDefault="00B2169D" w:rsidP="00C1573F">
      <w:pPr>
        <w:pStyle w:val="Clausenumber"/>
        <w:numPr>
          <w:ilvl w:val="0"/>
          <w:numId w:val="0"/>
        </w:numPr>
      </w:pPr>
    </w:p>
    <w:p w14:paraId="5A9C8A8C" w14:textId="77777777" w:rsidR="001F558B" w:rsidRPr="00B2084B" w:rsidRDefault="001F558B" w:rsidP="00C1573F">
      <w:pPr>
        <w:pStyle w:val="Clausenumber"/>
        <w:numPr>
          <w:ilvl w:val="0"/>
          <w:numId w:val="0"/>
        </w:numPr>
      </w:pPr>
      <w:r w:rsidRPr="00B2084B">
        <w:t xml:space="preserve">Prequalification of a contractor does not extend to related, associated or subsidiary business entities owned or controlled by the contractor or joint ventures to which the contractor is a party. </w:t>
      </w:r>
    </w:p>
    <w:p w14:paraId="427BFC3F" w14:textId="77777777" w:rsidR="001F558B" w:rsidRPr="00B2084B" w:rsidRDefault="001F558B" w:rsidP="00677015">
      <w:pPr>
        <w:rPr>
          <w:rFonts w:ascii="Arial" w:hAnsi="Arial" w:cs="Arial"/>
          <w:sz w:val="22"/>
          <w:szCs w:val="22"/>
        </w:rPr>
      </w:pPr>
    </w:p>
    <w:p w14:paraId="2988C498" w14:textId="23714F17" w:rsidR="009B0842" w:rsidRDefault="009B0842" w:rsidP="00C1573F">
      <w:pPr>
        <w:pStyle w:val="Clausenumber"/>
        <w:numPr>
          <w:ilvl w:val="0"/>
          <w:numId w:val="0"/>
        </w:numPr>
      </w:pPr>
      <w:r w:rsidRPr="00B2084B">
        <w:t>N</w:t>
      </w:r>
      <w:r w:rsidRPr="003B093A">
        <w:t xml:space="preserve">ew </w:t>
      </w:r>
      <w:r w:rsidR="00291EB4">
        <w:t xml:space="preserve">businesses are encouraged to apply for prequalification, but </w:t>
      </w:r>
      <w:r w:rsidRPr="003B093A">
        <w:t xml:space="preserve">may not be </w:t>
      </w:r>
      <w:proofErr w:type="gramStart"/>
      <w:r w:rsidRPr="003B093A">
        <w:t>in a position to</w:t>
      </w:r>
      <w:proofErr w:type="gramEnd"/>
      <w:r w:rsidRPr="003B093A">
        <w:t xml:space="preserve"> provide details of significant past experience</w:t>
      </w:r>
      <w:r w:rsidR="00291EB4">
        <w:t xml:space="preserve">. Applicants in this situation should contact </w:t>
      </w:r>
      <w:r w:rsidR="0085716F">
        <w:t>DFSI</w:t>
      </w:r>
      <w:r w:rsidR="00291EB4">
        <w:t xml:space="preserve"> to discuss how prequalification may be </w:t>
      </w:r>
      <w:r w:rsidRPr="003B093A">
        <w:t xml:space="preserve">assessed </w:t>
      </w:r>
      <w:r w:rsidR="00291EB4">
        <w:t>using equivalent experience</w:t>
      </w:r>
      <w:r w:rsidRPr="003B093A">
        <w:t>.</w:t>
      </w:r>
      <w:r w:rsidR="00291EB4">
        <w:t xml:space="preserve"> </w:t>
      </w:r>
    </w:p>
    <w:p w14:paraId="7EEACE89" w14:textId="77777777" w:rsidR="005336A5" w:rsidRDefault="005336A5" w:rsidP="003B093A">
      <w:pPr>
        <w:pStyle w:val="Paragraph"/>
        <w:ind w:left="0"/>
        <w:rPr>
          <w:rFonts w:ascii="Arial" w:hAnsi="Arial" w:cs="Arial"/>
          <w:szCs w:val="22"/>
        </w:rPr>
      </w:pPr>
    </w:p>
    <w:p w14:paraId="11025D60" w14:textId="77777777" w:rsidR="00B726DB" w:rsidRPr="00636DC0" w:rsidRDefault="00B726DB" w:rsidP="00357914">
      <w:pPr>
        <w:pStyle w:val="ClauseHeading"/>
      </w:pPr>
      <w:r w:rsidRPr="003B093A">
        <w:t xml:space="preserve">Financial </w:t>
      </w:r>
      <w:r w:rsidR="00BC6A60">
        <w:t xml:space="preserve">viability </w:t>
      </w:r>
    </w:p>
    <w:p w14:paraId="22C4EC3E" w14:textId="77777777" w:rsidR="00787AEE" w:rsidRDefault="00AE0C1D" w:rsidP="00C1573F">
      <w:pPr>
        <w:pStyle w:val="Clausenumber"/>
        <w:numPr>
          <w:ilvl w:val="0"/>
          <w:numId w:val="0"/>
        </w:numPr>
      </w:pPr>
      <w:r w:rsidRPr="00636DC0">
        <w:t>Applicants</w:t>
      </w:r>
      <w:r w:rsidR="00636DC0">
        <w:t xml:space="preserve"> </w:t>
      </w:r>
      <w:r w:rsidR="004B0B47">
        <w:t xml:space="preserve">must be </w:t>
      </w:r>
      <w:r w:rsidR="00BC6A60">
        <w:t>F</w:t>
      </w:r>
      <w:r w:rsidR="004B0B47">
        <w:t xml:space="preserve">inancially </w:t>
      </w:r>
      <w:r w:rsidR="00BC6A60">
        <w:t>Solvent</w:t>
      </w:r>
      <w:r w:rsidR="00787AEE">
        <w:t>.</w:t>
      </w:r>
    </w:p>
    <w:p w14:paraId="77A7BB1F" w14:textId="77777777" w:rsidR="00AE0C1D" w:rsidRDefault="00AE0C1D" w:rsidP="00291EB4">
      <w:pPr>
        <w:pStyle w:val="Clausenumber"/>
        <w:numPr>
          <w:ilvl w:val="0"/>
          <w:numId w:val="0"/>
        </w:numPr>
      </w:pPr>
    </w:p>
    <w:p w14:paraId="78C281BB" w14:textId="77777777" w:rsidR="00F41EFF" w:rsidRDefault="00F41EFF" w:rsidP="00C1573F">
      <w:pPr>
        <w:pStyle w:val="Clausenumber"/>
        <w:numPr>
          <w:ilvl w:val="0"/>
          <w:numId w:val="0"/>
        </w:numPr>
      </w:pPr>
      <w:r>
        <w:t xml:space="preserve">At the time of tender and/or engagement, contractors may be subject to an independent assessment of their financial status and capability. </w:t>
      </w:r>
      <w:r w:rsidR="00C412CE">
        <w:t xml:space="preserve">Agencies are required to assess a contractor’s financial capacity </w:t>
      </w:r>
      <w:r w:rsidR="00B72ADF">
        <w:t xml:space="preserve">at the time of engagement </w:t>
      </w:r>
      <w:r w:rsidR="00344B88">
        <w:t>and/</w:t>
      </w:r>
      <w:r w:rsidR="00B72ADF">
        <w:t>or tendering</w:t>
      </w:r>
      <w:r w:rsidR="00C412CE">
        <w:t xml:space="preserve">. </w:t>
      </w:r>
      <w:r>
        <w:t>Ongoing financial viability and capacity of a contractor to deliver contracted works will be monitored throughout the contract. Applicants are deemed to have authorised all necessary financial checks conducted by or on behalf of agencies, prior to engagement and during the lifetime of a contract.</w:t>
      </w:r>
    </w:p>
    <w:p w14:paraId="58F7CB4F" w14:textId="77777777" w:rsidR="00344B88" w:rsidRDefault="00344B88" w:rsidP="00C1573F">
      <w:pPr>
        <w:pStyle w:val="Clausenumber"/>
        <w:numPr>
          <w:ilvl w:val="0"/>
          <w:numId w:val="0"/>
        </w:numPr>
      </w:pPr>
    </w:p>
    <w:p w14:paraId="353F7097" w14:textId="77777777" w:rsidR="00EF23C9" w:rsidRDefault="00795082" w:rsidP="00357914">
      <w:pPr>
        <w:pStyle w:val="ClauseHeading"/>
      </w:pPr>
      <w:bookmarkStart w:id="11" w:name="_Toc273633638"/>
      <w:bookmarkStart w:id="12" w:name="_Toc49847027"/>
      <w:bookmarkStart w:id="13" w:name="_Toc79838012"/>
      <w:bookmarkStart w:id="14" w:name="_Toc110911986"/>
      <w:bookmarkStart w:id="15" w:name="_Toc169682149"/>
      <w:bookmarkStart w:id="16" w:name="_Toc174952012"/>
      <w:bookmarkStart w:id="17" w:name="_Toc174952118"/>
      <w:r w:rsidRPr="00300B70">
        <w:t>Performance Management</w:t>
      </w:r>
    </w:p>
    <w:bookmarkEnd w:id="11"/>
    <w:p w14:paraId="5DCF10FE" w14:textId="77777777" w:rsidR="00795082" w:rsidRPr="00300B70" w:rsidRDefault="00795082" w:rsidP="00C1573F">
      <w:pPr>
        <w:pStyle w:val="Clausenumber"/>
        <w:numPr>
          <w:ilvl w:val="0"/>
          <w:numId w:val="0"/>
        </w:numPr>
      </w:pPr>
      <w:r w:rsidRPr="00222662">
        <w:rPr>
          <w:szCs w:val="24"/>
        </w:rPr>
        <w:t xml:space="preserve">Prequalified </w:t>
      </w:r>
      <w:r w:rsidR="00507F56">
        <w:rPr>
          <w:szCs w:val="24"/>
        </w:rPr>
        <w:t>c</w:t>
      </w:r>
      <w:r w:rsidRPr="00222662">
        <w:rPr>
          <w:szCs w:val="24"/>
        </w:rPr>
        <w:t xml:space="preserve">ontractors </w:t>
      </w:r>
      <w:r w:rsidR="008D0629" w:rsidRPr="00222662">
        <w:rPr>
          <w:szCs w:val="24"/>
        </w:rPr>
        <w:t>should</w:t>
      </w:r>
      <w:r w:rsidRPr="00222662">
        <w:rPr>
          <w:szCs w:val="24"/>
        </w:rPr>
        <w:t xml:space="preserve"> </w:t>
      </w:r>
      <w:r w:rsidR="00313624" w:rsidRPr="00222662">
        <w:rPr>
          <w:szCs w:val="24"/>
        </w:rPr>
        <w:t xml:space="preserve">establish </w:t>
      </w:r>
      <w:r w:rsidR="00313624" w:rsidRPr="003B093A">
        <w:rPr>
          <w:szCs w:val="24"/>
        </w:rPr>
        <w:t xml:space="preserve">procedures that enable </w:t>
      </w:r>
      <w:r w:rsidR="006C3319">
        <w:rPr>
          <w:szCs w:val="24"/>
        </w:rPr>
        <w:t xml:space="preserve">all </w:t>
      </w:r>
      <w:r w:rsidR="00313624">
        <w:t xml:space="preserve">contractual obligations </w:t>
      </w:r>
      <w:r w:rsidR="006C3319">
        <w:t xml:space="preserve">to be met </w:t>
      </w:r>
      <w:r w:rsidR="00EF23C9">
        <w:t>and a</w:t>
      </w:r>
      <w:r w:rsidR="00313624">
        <w:t>ddress unsatisfactory performance in a timely manner</w:t>
      </w:r>
      <w:r w:rsidR="00EF23C9">
        <w:t xml:space="preserve">. </w:t>
      </w:r>
    </w:p>
    <w:bookmarkEnd w:id="12"/>
    <w:bookmarkEnd w:id="13"/>
    <w:bookmarkEnd w:id="14"/>
    <w:bookmarkEnd w:id="15"/>
    <w:bookmarkEnd w:id="16"/>
    <w:bookmarkEnd w:id="17"/>
    <w:p w14:paraId="6BCBCCB1" w14:textId="77777777" w:rsidR="00C23745" w:rsidRDefault="00C23745" w:rsidP="005963BF">
      <w:pPr>
        <w:pStyle w:val="BodyText"/>
        <w:rPr>
          <w:rFonts w:ascii="Arial" w:hAnsi="Arial" w:cs="Arial"/>
          <w:szCs w:val="24"/>
          <w:lang w:val="en-AU"/>
        </w:rPr>
      </w:pPr>
    </w:p>
    <w:p w14:paraId="04789C23" w14:textId="77777777" w:rsidR="00C23745" w:rsidRDefault="003437FA" w:rsidP="005963BF">
      <w:pPr>
        <w:pStyle w:val="Clausenumber"/>
        <w:numPr>
          <w:ilvl w:val="0"/>
          <w:numId w:val="0"/>
        </w:numPr>
      </w:pPr>
      <w:r>
        <w:t xml:space="preserve">Performance </w:t>
      </w:r>
      <w:r w:rsidR="00C23745">
        <w:t xml:space="preserve">monitoring may </w:t>
      </w:r>
      <w:r w:rsidR="00EF23C9">
        <w:t xml:space="preserve">also </w:t>
      </w:r>
      <w:r w:rsidR="00C23745">
        <w:t xml:space="preserve">include, but </w:t>
      </w:r>
      <w:r>
        <w:t xml:space="preserve">is </w:t>
      </w:r>
      <w:r w:rsidR="00C23745">
        <w:t>not limited to</w:t>
      </w:r>
      <w:r w:rsidR="00B503A7">
        <w:t xml:space="preserve"> consideration of</w:t>
      </w:r>
      <w:r w:rsidR="00C23745">
        <w:t xml:space="preserve">: </w:t>
      </w:r>
    </w:p>
    <w:p w14:paraId="220AABAE" w14:textId="77777777" w:rsidR="00C23745" w:rsidRDefault="00D50FCD" w:rsidP="00086EE7">
      <w:pPr>
        <w:numPr>
          <w:ilvl w:val="0"/>
          <w:numId w:val="6"/>
        </w:numPr>
        <w:spacing w:before="120" w:after="120"/>
        <w:ind w:left="360"/>
        <w:jc w:val="both"/>
        <w:rPr>
          <w:rFonts w:ascii="Arial" w:hAnsi="Arial" w:cs="Arial"/>
          <w:sz w:val="22"/>
        </w:rPr>
      </w:pPr>
      <w:r>
        <w:rPr>
          <w:rFonts w:ascii="Arial" w:hAnsi="Arial" w:cs="Arial"/>
          <w:sz w:val="22"/>
        </w:rPr>
        <w:t xml:space="preserve">Meeting requirements </w:t>
      </w:r>
      <w:r w:rsidR="005B3A51">
        <w:rPr>
          <w:rFonts w:ascii="Arial" w:hAnsi="Arial" w:cs="Arial"/>
          <w:sz w:val="22"/>
        </w:rPr>
        <w:t xml:space="preserve">in </w:t>
      </w:r>
      <w:r>
        <w:rPr>
          <w:rFonts w:ascii="Arial" w:hAnsi="Arial" w:cs="Arial"/>
          <w:sz w:val="22"/>
        </w:rPr>
        <w:t xml:space="preserve">the </w:t>
      </w:r>
      <w:r w:rsidRPr="0068291B">
        <w:rPr>
          <w:rFonts w:ascii="Arial" w:hAnsi="Arial" w:cs="Arial"/>
          <w:i/>
          <w:sz w:val="22"/>
          <w:szCs w:val="22"/>
        </w:rPr>
        <w:t>Performance Management Practice Guide</w:t>
      </w:r>
      <w:r>
        <w:rPr>
          <w:rFonts w:ascii="Arial" w:hAnsi="Arial" w:cs="Arial"/>
          <w:sz w:val="22"/>
          <w:szCs w:val="22"/>
        </w:rPr>
        <w:t xml:space="preserve"> </w:t>
      </w:r>
      <w:r w:rsidR="003122DF">
        <w:rPr>
          <w:rFonts w:ascii="Arial" w:hAnsi="Arial" w:cs="Arial"/>
          <w:sz w:val="22"/>
        </w:rPr>
        <w:t>(where the contract is valued at more than $500,000)</w:t>
      </w:r>
    </w:p>
    <w:p w14:paraId="0E68F833" w14:textId="77777777" w:rsidR="004F7C65" w:rsidRPr="003B093A" w:rsidRDefault="004F7C65" w:rsidP="00086EE7">
      <w:pPr>
        <w:numPr>
          <w:ilvl w:val="0"/>
          <w:numId w:val="6"/>
        </w:numPr>
        <w:spacing w:before="120" w:after="120"/>
        <w:ind w:left="360"/>
        <w:jc w:val="both"/>
        <w:rPr>
          <w:rFonts w:ascii="Arial" w:hAnsi="Arial" w:cs="Arial"/>
          <w:sz w:val="22"/>
        </w:rPr>
      </w:pPr>
      <w:r>
        <w:rPr>
          <w:rFonts w:ascii="Arial" w:hAnsi="Arial" w:cs="Arial"/>
          <w:sz w:val="22"/>
        </w:rPr>
        <w:t xml:space="preserve">Meeting the requirements of </w:t>
      </w:r>
      <w:r w:rsidRPr="003B093A">
        <w:rPr>
          <w:rFonts w:ascii="Arial" w:hAnsi="Arial" w:cs="Arial"/>
          <w:sz w:val="22"/>
          <w:szCs w:val="22"/>
        </w:rPr>
        <w:t>Work Health and Safety Management Systems and Auditing Guidelines</w:t>
      </w:r>
      <w:r>
        <w:rPr>
          <w:rFonts w:ascii="Arial" w:hAnsi="Arial" w:cs="Arial"/>
          <w:sz w:val="22"/>
          <w:szCs w:val="22"/>
        </w:rPr>
        <w:t xml:space="preserve"> </w:t>
      </w:r>
    </w:p>
    <w:p w14:paraId="6C0662AA" w14:textId="77777777" w:rsidR="00C23745" w:rsidRDefault="00C278B6" w:rsidP="00086EE7">
      <w:pPr>
        <w:numPr>
          <w:ilvl w:val="0"/>
          <w:numId w:val="6"/>
        </w:numPr>
        <w:spacing w:before="120" w:after="120"/>
        <w:ind w:left="360"/>
        <w:jc w:val="both"/>
        <w:rPr>
          <w:rFonts w:ascii="Arial" w:hAnsi="Arial" w:cs="Arial"/>
          <w:sz w:val="22"/>
        </w:rPr>
      </w:pPr>
      <w:r>
        <w:rPr>
          <w:rFonts w:ascii="Arial" w:hAnsi="Arial" w:cs="Arial"/>
          <w:sz w:val="22"/>
        </w:rPr>
        <w:t xml:space="preserve">Meeting the requirements of the </w:t>
      </w:r>
      <w:r w:rsidRPr="005E651C">
        <w:rPr>
          <w:rFonts w:ascii="Arial" w:hAnsi="Arial" w:cs="Arial"/>
          <w:sz w:val="22"/>
        </w:rPr>
        <w:t>Quality Management System Guidelines</w:t>
      </w:r>
      <w:r w:rsidRPr="0068291B">
        <w:rPr>
          <w:rFonts w:ascii="Arial" w:hAnsi="Arial" w:cs="Arial"/>
          <w:sz w:val="22"/>
        </w:rPr>
        <w:t xml:space="preserve"> </w:t>
      </w:r>
      <w:r>
        <w:rPr>
          <w:rFonts w:ascii="Arial" w:hAnsi="Arial" w:cs="Arial"/>
          <w:sz w:val="22"/>
        </w:rPr>
        <w:t xml:space="preserve">including the </w:t>
      </w:r>
      <w:r w:rsidR="004060C6">
        <w:rPr>
          <w:rFonts w:ascii="Arial" w:hAnsi="Arial" w:cs="Arial"/>
          <w:sz w:val="22"/>
        </w:rPr>
        <w:t>r</w:t>
      </w:r>
      <w:r w:rsidR="00C23745">
        <w:rPr>
          <w:rFonts w:ascii="Arial" w:hAnsi="Arial" w:cs="Arial"/>
          <w:sz w:val="22"/>
        </w:rPr>
        <w:t xml:space="preserve">esults of any Quality Assurance Audit, or Environmental Management System Audit </w:t>
      </w:r>
    </w:p>
    <w:p w14:paraId="4C03FF0E" w14:textId="77777777" w:rsidR="00C23745" w:rsidRDefault="00BB670C" w:rsidP="00086EE7">
      <w:pPr>
        <w:numPr>
          <w:ilvl w:val="0"/>
          <w:numId w:val="6"/>
        </w:numPr>
        <w:spacing w:before="120" w:after="120"/>
        <w:ind w:left="360"/>
        <w:jc w:val="both"/>
        <w:rPr>
          <w:rFonts w:ascii="Arial" w:hAnsi="Arial" w:cs="Arial"/>
          <w:sz w:val="22"/>
        </w:rPr>
      </w:pPr>
      <w:r>
        <w:rPr>
          <w:rFonts w:ascii="Arial" w:hAnsi="Arial" w:cs="Arial"/>
          <w:sz w:val="22"/>
        </w:rPr>
        <w:t>Fines, enforceable undertakings, c</w:t>
      </w:r>
      <w:r w:rsidR="00C23745">
        <w:rPr>
          <w:rFonts w:ascii="Arial" w:hAnsi="Arial" w:cs="Arial"/>
          <w:sz w:val="22"/>
        </w:rPr>
        <w:t xml:space="preserve">onvictions or prosecutions for </w:t>
      </w:r>
      <w:r w:rsidR="00B503A7">
        <w:rPr>
          <w:rFonts w:ascii="Arial" w:hAnsi="Arial" w:cs="Arial"/>
          <w:sz w:val="22"/>
        </w:rPr>
        <w:t>WHS</w:t>
      </w:r>
      <w:r w:rsidR="00C23745">
        <w:rPr>
          <w:rFonts w:ascii="Arial" w:hAnsi="Arial" w:cs="Arial"/>
          <w:sz w:val="22"/>
        </w:rPr>
        <w:t xml:space="preserve"> or environmental law breaches</w:t>
      </w:r>
    </w:p>
    <w:p w14:paraId="505C9A1F" w14:textId="77777777" w:rsidR="00872079" w:rsidRPr="005E651C" w:rsidRDefault="00872079" w:rsidP="00086EE7">
      <w:pPr>
        <w:numPr>
          <w:ilvl w:val="0"/>
          <w:numId w:val="6"/>
        </w:numPr>
        <w:spacing w:before="120" w:after="120"/>
        <w:ind w:left="360"/>
        <w:jc w:val="both"/>
        <w:rPr>
          <w:rFonts w:ascii="Arial" w:hAnsi="Arial" w:cs="Arial"/>
          <w:sz w:val="22"/>
        </w:rPr>
      </w:pPr>
      <w:r w:rsidRPr="005E651C">
        <w:rPr>
          <w:rFonts w:ascii="Arial" w:hAnsi="Arial" w:cs="Arial"/>
          <w:sz w:val="22"/>
        </w:rPr>
        <w:t xml:space="preserve">Compliance with </w:t>
      </w:r>
      <w:r>
        <w:rPr>
          <w:rFonts w:ascii="Arial" w:hAnsi="Arial" w:cs="Arial"/>
          <w:sz w:val="22"/>
        </w:rPr>
        <w:t xml:space="preserve">the </w:t>
      </w:r>
      <w:r w:rsidRPr="005E651C">
        <w:rPr>
          <w:rFonts w:ascii="Arial" w:hAnsi="Arial" w:cs="Arial"/>
          <w:sz w:val="22"/>
        </w:rPr>
        <w:t xml:space="preserve">Implementation Guidelines to the </w:t>
      </w:r>
      <w:r>
        <w:rPr>
          <w:rFonts w:ascii="Arial" w:hAnsi="Arial" w:cs="Arial"/>
          <w:sz w:val="22"/>
        </w:rPr>
        <w:t>NSW</w:t>
      </w:r>
      <w:r w:rsidRPr="005E651C">
        <w:rPr>
          <w:rFonts w:ascii="Arial" w:hAnsi="Arial" w:cs="Arial"/>
          <w:sz w:val="22"/>
        </w:rPr>
        <w:t xml:space="preserve"> Code of Practice for Procurement: Building and</w:t>
      </w:r>
      <w:r>
        <w:rPr>
          <w:rFonts w:ascii="Arial" w:hAnsi="Arial" w:cs="Arial"/>
          <w:sz w:val="22"/>
        </w:rPr>
        <w:t xml:space="preserve"> </w:t>
      </w:r>
      <w:r w:rsidRPr="005E651C">
        <w:rPr>
          <w:rFonts w:ascii="Arial" w:hAnsi="Arial" w:cs="Arial"/>
          <w:sz w:val="22"/>
        </w:rPr>
        <w:t>Construction</w:t>
      </w:r>
    </w:p>
    <w:p w14:paraId="0B916F88" w14:textId="77777777" w:rsidR="00C23745" w:rsidRDefault="00C23745" w:rsidP="00086EE7">
      <w:pPr>
        <w:numPr>
          <w:ilvl w:val="0"/>
          <w:numId w:val="6"/>
        </w:numPr>
        <w:spacing w:before="120" w:after="120"/>
        <w:ind w:left="360"/>
        <w:jc w:val="both"/>
        <w:rPr>
          <w:rFonts w:ascii="Arial" w:hAnsi="Arial" w:cs="Arial"/>
          <w:sz w:val="22"/>
        </w:rPr>
      </w:pPr>
      <w:r>
        <w:rPr>
          <w:rFonts w:ascii="Arial" w:hAnsi="Arial" w:cs="Arial"/>
          <w:sz w:val="22"/>
        </w:rPr>
        <w:t>Industrial relations issues that have resulted in a significant disruption to the works progress on the contractor’s contracts</w:t>
      </w:r>
      <w:r w:rsidR="006C3319">
        <w:rPr>
          <w:rFonts w:ascii="Arial" w:hAnsi="Arial" w:cs="Arial"/>
          <w:sz w:val="22"/>
        </w:rPr>
        <w:t xml:space="preserve"> with agencies</w:t>
      </w:r>
    </w:p>
    <w:p w14:paraId="657066D5" w14:textId="77777777" w:rsidR="00C1573F" w:rsidRDefault="00507F56" w:rsidP="00086EE7">
      <w:pPr>
        <w:numPr>
          <w:ilvl w:val="0"/>
          <w:numId w:val="6"/>
        </w:numPr>
        <w:spacing w:before="120" w:after="120"/>
        <w:ind w:left="360"/>
        <w:jc w:val="both"/>
        <w:rPr>
          <w:rFonts w:ascii="Arial" w:hAnsi="Arial" w:cs="Arial"/>
          <w:sz w:val="22"/>
        </w:rPr>
      </w:pPr>
      <w:r>
        <w:rPr>
          <w:rFonts w:ascii="Arial" w:hAnsi="Arial" w:cs="Arial"/>
          <w:sz w:val="22"/>
        </w:rPr>
        <w:t>S</w:t>
      </w:r>
      <w:r w:rsidR="00B503A7">
        <w:rPr>
          <w:rFonts w:ascii="Arial" w:hAnsi="Arial" w:cs="Arial"/>
          <w:sz w:val="22"/>
        </w:rPr>
        <w:t xml:space="preserve">ecurity of payment issues under </w:t>
      </w:r>
      <w:r w:rsidR="006C3319">
        <w:rPr>
          <w:rFonts w:ascii="Arial" w:hAnsi="Arial" w:cs="Arial"/>
          <w:sz w:val="22"/>
        </w:rPr>
        <w:t>t</w:t>
      </w:r>
      <w:r w:rsidR="00B503A7" w:rsidRPr="00C1573F">
        <w:rPr>
          <w:rFonts w:ascii="Arial" w:hAnsi="Arial" w:cs="Arial"/>
          <w:sz w:val="22"/>
        </w:rPr>
        <w:t>he</w:t>
      </w:r>
      <w:r w:rsidR="00B503A7">
        <w:rPr>
          <w:rFonts w:ascii="Arial" w:hAnsi="Arial" w:cs="Arial"/>
          <w:i/>
          <w:sz w:val="22"/>
        </w:rPr>
        <w:t xml:space="preserve"> Building and Construction Industry Security of Payment Act 1999 </w:t>
      </w:r>
      <w:r w:rsidR="00B503A7">
        <w:rPr>
          <w:rFonts w:ascii="Arial" w:hAnsi="Arial" w:cs="Arial"/>
          <w:iCs/>
          <w:sz w:val="22"/>
        </w:rPr>
        <w:t>(NSW)</w:t>
      </w:r>
      <w:r w:rsidR="00B503A7">
        <w:rPr>
          <w:rFonts w:ascii="Arial" w:hAnsi="Arial" w:cs="Arial"/>
          <w:sz w:val="22"/>
        </w:rPr>
        <w:t xml:space="preserve"> </w:t>
      </w:r>
    </w:p>
    <w:p w14:paraId="2425DC96" w14:textId="436A62B0" w:rsidR="00B2169D" w:rsidRDefault="00F30D1B" w:rsidP="005963BF">
      <w:pPr>
        <w:jc w:val="both"/>
        <w:rPr>
          <w:rFonts w:ascii="Arial" w:hAnsi="Arial" w:cs="Arial"/>
          <w:sz w:val="22"/>
        </w:rPr>
      </w:pPr>
      <w:r w:rsidRPr="00E256D7">
        <w:rPr>
          <w:rFonts w:ascii="Arial" w:hAnsi="Arial" w:cs="Arial"/>
          <w:sz w:val="22"/>
        </w:rPr>
        <w:t xml:space="preserve">Where an agency considers the performance of a contractor to be unsatisfactory, it is required to submit a Performance Report to </w:t>
      </w:r>
      <w:r w:rsidR="0085716F">
        <w:rPr>
          <w:rFonts w:ascii="Arial" w:hAnsi="Arial" w:cs="Arial"/>
          <w:sz w:val="22"/>
        </w:rPr>
        <w:t>DFSI</w:t>
      </w:r>
      <w:r w:rsidRPr="00E256D7">
        <w:rPr>
          <w:rFonts w:ascii="Arial" w:hAnsi="Arial" w:cs="Arial"/>
          <w:sz w:val="22"/>
        </w:rPr>
        <w:t xml:space="preserve">.  Prior to lodging the report with </w:t>
      </w:r>
      <w:r w:rsidR="0085716F">
        <w:rPr>
          <w:rFonts w:ascii="Arial" w:hAnsi="Arial" w:cs="Arial"/>
          <w:sz w:val="22"/>
        </w:rPr>
        <w:lastRenderedPageBreak/>
        <w:t>DFSI</w:t>
      </w:r>
      <w:r w:rsidRPr="00E256D7">
        <w:rPr>
          <w:rFonts w:ascii="Arial" w:hAnsi="Arial" w:cs="Arial"/>
          <w:sz w:val="22"/>
        </w:rPr>
        <w:t>, the agency will provide a copy of the report to the contractor. Any response from the contractor is to be considered by the agency in its performance report. The template used by agencies to report on contractor performance is provided at Appendix C. Agencies are also required to submit a performance report on all engagements valued at $</w:t>
      </w:r>
      <w:r w:rsidR="00E256D7">
        <w:rPr>
          <w:rFonts w:ascii="Arial" w:hAnsi="Arial" w:cs="Arial"/>
          <w:sz w:val="22"/>
        </w:rPr>
        <w:t>1</w:t>
      </w:r>
      <w:r w:rsidRPr="00E256D7">
        <w:rPr>
          <w:rFonts w:ascii="Arial" w:hAnsi="Arial" w:cs="Arial"/>
          <w:sz w:val="22"/>
        </w:rPr>
        <w:t>50,000 or more.</w:t>
      </w:r>
      <w:r>
        <w:rPr>
          <w:rFonts w:ascii="Arial" w:hAnsi="Arial" w:cs="Arial"/>
          <w:sz w:val="22"/>
        </w:rPr>
        <w:t xml:space="preserve"> </w:t>
      </w:r>
    </w:p>
    <w:p w14:paraId="5B8C2CD9" w14:textId="77777777" w:rsidR="00F30D1B" w:rsidRDefault="00F30D1B" w:rsidP="005963BF">
      <w:pPr>
        <w:jc w:val="both"/>
        <w:rPr>
          <w:rFonts w:ascii="Arial" w:hAnsi="Arial" w:cs="Arial"/>
          <w:sz w:val="22"/>
        </w:rPr>
      </w:pPr>
    </w:p>
    <w:p w14:paraId="2BA1702D" w14:textId="77777777" w:rsidR="00B2169D" w:rsidRDefault="00B2169D" w:rsidP="005963BF">
      <w:pPr>
        <w:pStyle w:val="ClauseHeading"/>
        <w:jc w:val="both"/>
      </w:pPr>
      <w:r>
        <w:t>Insurances are required if a contract</w:t>
      </w:r>
      <w:r w:rsidR="00FF5A85">
        <w:t>or</w:t>
      </w:r>
      <w:r>
        <w:t xml:space="preserve"> is engaged </w:t>
      </w:r>
      <w:r w:rsidR="00FF5A85">
        <w:t>for</w:t>
      </w:r>
      <w:r>
        <w:t xml:space="preserve"> work</w:t>
      </w:r>
    </w:p>
    <w:p w14:paraId="6B59450A" w14:textId="77777777" w:rsidR="00B2169D" w:rsidRDefault="00B2169D" w:rsidP="005963BF">
      <w:pPr>
        <w:jc w:val="both"/>
        <w:rPr>
          <w:rFonts w:ascii="Arial" w:hAnsi="Arial" w:cs="Arial"/>
          <w:sz w:val="22"/>
        </w:rPr>
      </w:pPr>
      <w:r>
        <w:rPr>
          <w:rFonts w:ascii="Arial" w:hAnsi="Arial" w:cs="Arial"/>
          <w:sz w:val="22"/>
        </w:rPr>
        <w:t>It is a Scheme condition that all prequalified contractors must hold and be able to provide a</w:t>
      </w:r>
      <w:r w:rsidR="00344B88">
        <w:rPr>
          <w:rFonts w:ascii="Arial" w:hAnsi="Arial" w:cs="Arial"/>
          <w:sz w:val="22"/>
        </w:rPr>
        <w:t xml:space="preserve"> </w:t>
      </w:r>
      <w:r>
        <w:rPr>
          <w:rFonts w:ascii="Arial" w:hAnsi="Arial" w:cs="Arial"/>
          <w:sz w:val="22"/>
        </w:rPr>
        <w:t xml:space="preserve">certificate </w:t>
      </w:r>
      <w:r w:rsidR="00344B88">
        <w:rPr>
          <w:rFonts w:ascii="Arial" w:hAnsi="Arial" w:cs="Arial"/>
          <w:sz w:val="22"/>
        </w:rPr>
        <w:t xml:space="preserve">of currency </w:t>
      </w:r>
      <w:r>
        <w:rPr>
          <w:rFonts w:ascii="Arial" w:hAnsi="Arial" w:cs="Arial"/>
          <w:sz w:val="22"/>
        </w:rPr>
        <w:t xml:space="preserve">for workers compensation </w:t>
      </w:r>
      <w:r w:rsidR="00344B88">
        <w:rPr>
          <w:rFonts w:ascii="Arial" w:hAnsi="Arial" w:cs="Arial"/>
          <w:sz w:val="22"/>
        </w:rPr>
        <w:t xml:space="preserve">(or equivalent self-insurance for sole traders) </w:t>
      </w:r>
      <w:r>
        <w:rPr>
          <w:rFonts w:ascii="Arial" w:hAnsi="Arial" w:cs="Arial"/>
          <w:sz w:val="22"/>
        </w:rPr>
        <w:t>as required by law at the time of engagement.</w:t>
      </w:r>
    </w:p>
    <w:p w14:paraId="5ABA708A" w14:textId="77777777" w:rsidR="00B2169D" w:rsidRDefault="00B2169D" w:rsidP="005963BF">
      <w:pPr>
        <w:jc w:val="both"/>
        <w:rPr>
          <w:rFonts w:ascii="Arial" w:hAnsi="Arial" w:cs="Arial"/>
          <w:sz w:val="22"/>
        </w:rPr>
      </w:pPr>
    </w:p>
    <w:p w14:paraId="3D7C4B27" w14:textId="77777777" w:rsidR="00B2169D" w:rsidRDefault="00B2169D" w:rsidP="005963BF">
      <w:pPr>
        <w:jc w:val="both"/>
        <w:rPr>
          <w:rFonts w:ascii="Arial" w:hAnsi="Arial" w:cs="Arial"/>
          <w:sz w:val="22"/>
        </w:rPr>
      </w:pPr>
      <w:r>
        <w:rPr>
          <w:rFonts w:ascii="Arial" w:hAnsi="Arial" w:cs="Arial"/>
          <w:sz w:val="22"/>
        </w:rPr>
        <w:t>It is a Scheme condition that all Registered Contractors must hold and be able to provide a registered valid i</w:t>
      </w:r>
      <w:r w:rsidRPr="0012089B">
        <w:rPr>
          <w:rFonts w:ascii="Arial" w:hAnsi="Arial" w:cs="Arial"/>
          <w:sz w:val="22"/>
        </w:rPr>
        <w:t xml:space="preserve">nsurance certificate of currency for public liability </w:t>
      </w:r>
      <w:r w:rsidRPr="00C70DBA">
        <w:rPr>
          <w:rFonts w:ascii="Arial" w:hAnsi="Arial" w:cs="Arial"/>
          <w:sz w:val="22"/>
        </w:rPr>
        <w:t>(</w:t>
      </w:r>
      <w:r w:rsidR="00C70DBA" w:rsidRPr="00C70DBA">
        <w:rPr>
          <w:rFonts w:ascii="Arial" w:hAnsi="Arial" w:cs="Arial"/>
          <w:sz w:val="22"/>
        </w:rPr>
        <w:t xml:space="preserve">of an amount not less than </w:t>
      </w:r>
      <w:r w:rsidRPr="00C70DBA">
        <w:rPr>
          <w:rFonts w:ascii="Arial" w:hAnsi="Arial" w:cs="Arial"/>
          <w:sz w:val="22"/>
        </w:rPr>
        <w:t>$</w:t>
      </w:r>
      <w:r w:rsidR="00E256D7" w:rsidRPr="00C70DBA">
        <w:rPr>
          <w:rFonts w:ascii="Arial" w:hAnsi="Arial" w:cs="Arial"/>
          <w:sz w:val="22"/>
        </w:rPr>
        <w:t>10,000,000</w:t>
      </w:r>
      <w:r w:rsidRPr="00C70DBA">
        <w:rPr>
          <w:rFonts w:ascii="Arial" w:hAnsi="Arial" w:cs="Arial"/>
          <w:sz w:val="22"/>
        </w:rPr>
        <w:t>) at the time of</w:t>
      </w:r>
      <w:r>
        <w:rPr>
          <w:rFonts w:ascii="Arial" w:hAnsi="Arial" w:cs="Arial"/>
          <w:sz w:val="22"/>
        </w:rPr>
        <w:t xml:space="preserve"> engagement. </w:t>
      </w:r>
    </w:p>
    <w:p w14:paraId="645BFC05" w14:textId="77777777" w:rsidR="00B2169D" w:rsidRDefault="00B2169D" w:rsidP="005963BF">
      <w:pPr>
        <w:jc w:val="both"/>
        <w:rPr>
          <w:rFonts w:ascii="Arial" w:hAnsi="Arial" w:cs="Arial"/>
          <w:sz w:val="22"/>
        </w:rPr>
      </w:pPr>
    </w:p>
    <w:p w14:paraId="37E03863" w14:textId="77777777" w:rsidR="00B2169D" w:rsidRDefault="00B2169D" w:rsidP="005963BF">
      <w:pPr>
        <w:jc w:val="both"/>
        <w:rPr>
          <w:rFonts w:ascii="Arial" w:hAnsi="Arial" w:cs="Arial"/>
          <w:sz w:val="22"/>
        </w:rPr>
      </w:pPr>
      <w:r>
        <w:rPr>
          <w:rFonts w:ascii="Arial" w:hAnsi="Arial" w:cs="Arial"/>
          <w:sz w:val="22"/>
        </w:rPr>
        <w:t>It is a Scheme condition that all Certified Contractors must hold and be able to provide a registered valid i</w:t>
      </w:r>
      <w:r w:rsidRPr="0012089B">
        <w:rPr>
          <w:rFonts w:ascii="Arial" w:hAnsi="Arial" w:cs="Arial"/>
          <w:sz w:val="22"/>
        </w:rPr>
        <w:t xml:space="preserve">nsurance certificate of currency for professional indemnity </w:t>
      </w:r>
      <w:r w:rsidRPr="00C70DBA">
        <w:rPr>
          <w:rFonts w:ascii="Arial" w:hAnsi="Arial" w:cs="Arial"/>
          <w:sz w:val="22"/>
        </w:rPr>
        <w:t>(</w:t>
      </w:r>
      <w:r w:rsidR="00C70DBA" w:rsidRPr="00C70DBA">
        <w:rPr>
          <w:rFonts w:ascii="Arial" w:hAnsi="Arial" w:cs="Arial"/>
          <w:sz w:val="22"/>
        </w:rPr>
        <w:t xml:space="preserve">of an amount not less than </w:t>
      </w:r>
      <w:r w:rsidRPr="00C70DBA">
        <w:rPr>
          <w:rFonts w:ascii="Arial" w:hAnsi="Arial" w:cs="Arial"/>
          <w:sz w:val="22"/>
        </w:rPr>
        <w:t>$</w:t>
      </w:r>
      <w:r w:rsidR="00E256D7" w:rsidRPr="00C70DBA">
        <w:rPr>
          <w:rFonts w:ascii="Arial" w:hAnsi="Arial" w:cs="Arial"/>
          <w:sz w:val="22"/>
        </w:rPr>
        <w:t>5,000,000</w:t>
      </w:r>
      <w:r w:rsidRPr="00C70DBA">
        <w:rPr>
          <w:rFonts w:ascii="Arial" w:hAnsi="Arial" w:cs="Arial"/>
          <w:sz w:val="22"/>
        </w:rPr>
        <w:t>) and public liability (</w:t>
      </w:r>
      <w:r w:rsidR="00C70DBA" w:rsidRPr="00C70DBA">
        <w:rPr>
          <w:rFonts w:ascii="Arial" w:hAnsi="Arial" w:cs="Arial"/>
          <w:sz w:val="22"/>
        </w:rPr>
        <w:t xml:space="preserve">of an amount not less than </w:t>
      </w:r>
      <w:r w:rsidRPr="00C70DBA">
        <w:rPr>
          <w:rFonts w:ascii="Arial" w:hAnsi="Arial" w:cs="Arial"/>
          <w:sz w:val="22"/>
        </w:rPr>
        <w:t>$</w:t>
      </w:r>
      <w:r w:rsidR="00E256D7" w:rsidRPr="00C70DBA">
        <w:rPr>
          <w:rFonts w:ascii="Arial" w:hAnsi="Arial" w:cs="Arial"/>
          <w:sz w:val="22"/>
        </w:rPr>
        <w:t>10,000,000</w:t>
      </w:r>
      <w:r w:rsidRPr="00C70DBA">
        <w:rPr>
          <w:rFonts w:ascii="Arial" w:hAnsi="Arial" w:cs="Arial"/>
          <w:sz w:val="22"/>
        </w:rPr>
        <w:t>) at the time of engagement.</w:t>
      </w:r>
      <w:r>
        <w:rPr>
          <w:rFonts w:ascii="Arial" w:hAnsi="Arial" w:cs="Arial"/>
          <w:sz w:val="22"/>
        </w:rPr>
        <w:t xml:space="preserve"> </w:t>
      </w:r>
    </w:p>
    <w:p w14:paraId="2FE00F5F" w14:textId="77777777" w:rsidR="00B2169D" w:rsidRDefault="00B2169D" w:rsidP="005963BF">
      <w:pPr>
        <w:jc w:val="both"/>
        <w:rPr>
          <w:rFonts w:ascii="Arial" w:hAnsi="Arial" w:cs="Arial"/>
          <w:sz w:val="22"/>
        </w:rPr>
      </w:pPr>
    </w:p>
    <w:p w14:paraId="41BA8E72" w14:textId="77777777" w:rsidR="00B2169D" w:rsidRDefault="00B2169D" w:rsidP="005963BF">
      <w:pPr>
        <w:jc w:val="both"/>
        <w:rPr>
          <w:rFonts w:ascii="Arial" w:hAnsi="Arial" w:cs="Arial"/>
          <w:sz w:val="22"/>
        </w:rPr>
      </w:pPr>
      <w:r>
        <w:rPr>
          <w:rFonts w:ascii="Arial" w:hAnsi="Arial" w:cs="Arial"/>
          <w:sz w:val="22"/>
        </w:rPr>
        <w:t xml:space="preserve">Until a contractor is engaged, it is not necessary </w:t>
      </w:r>
      <w:proofErr w:type="gramStart"/>
      <w:r w:rsidR="00344B88">
        <w:rPr>
          <w:rFonts w:ascii="Arial" w:hAnsi="Arial" w:cs="Arial"/>
          <w:sz w:val="22"/>
        </w:rPr>
        <w:t>for the purpose of</w:t>
      </w:r>
      <w:proofErr w:type="gramEnd"/>
      <w:r w:rsidR="00344B88">
        <w:rPr>
          <w:rFonts w:ascii="Arial" w:hAnsi="Arial" w:cs="Arial"/>
          <w:sz w:val="22"/>
        </w:rPr>
        <w:t xml:space="preserve"> prequalification, </w:t>
      </w:r>
      <w:r>
        <w:rPr>
          <w:rFonts w:ascii="Arial" w:hAnsi="Arial" w:cs="Arial"/>
          <w:sz w:val="22"/>
        </w:rPr>
        <w:t xml:space="preserve">to hold insurances required under this clause or to provide this information.  </w:t>
      </w:r>
    </w:p>
    <w:p w14:paraId="2CF78A93" w14:textId="77777777" w:rsidR="00947A05" w:rsidRDefault="00947A05" w:rsidP="005963BF">
      <w:pPr>
        <w:jc w:val="both"/>
        <w:rPr>
          <w:rFonts w:ascii="Arial" w:hAnsi="Arial" w:cs="Arial"/>
          <w:sz w:val="22"/>
        </w:rPr>
      </w:pPr>
    </w:p>
    <w:p w14:paraId="2F8BF71B" w14:textId="77777777" w:rsidR="00947A05" w:rsidRPr="00C70DBA" w:rsidRDefault="00AA60ED" w:rsidP="00947A05">
      <w:pPr>
        <w:pStyle w:val="ClauseHeading"/>
      </w:pPr>
      <w:r w:rsidRPr="00C70DBA">
        <w:t xml:space="preserve">Prescribed </w:t>
      </w:r>
      <w:r w:rsidR="00947A05" w:rsidRPr="00C70DBA">
        <w:t>terms and conditions</w:t>
      </w:r>
      <w:r w:rsidRPr="00C70DBA">
        <w:t xml:space="preserve"> for contracts</w:t>
      </w:r>
    </w:p>
    <w:p w14:paraId="27938826" w14:textId="77777777" w:rsidR="00AA60ED" w:rsidRPr="00C70DBA" w:rsidRDefault="00947A05">
      <w:pPr>
        <w:pStyle w:val="ClauseHeading"/>
        <w:numPr>
          <w:ilvl w:val="0"/>
          <w:numId w:val="0"/>
        </w:numPr>
        <w:rPr>
          <w:b w:val="0"/>
        </w:rPr>
      </w:pPr>
      <w:r w:rsidRPr="00C70DBA">
        <w:rPr>
          <w:b w:val="0"/>
        </w:rPr>
        <w:t xml:space="preserve">Contracts for work </w:t>
      </w:r>
      <w:r w:rsidR="00AA60ED" w:rsidRPr="00C70DBA">
        <w:rPr>
          <w:b w:val="0"/>
          <w:szCs w:val="22"/>
        </w:rPr>
        <w:t>valued up to $</w:t>
      </w:r>
      <w:r w:rsidR="00C70DBA">
        <w:rPr>
          <w:b w:val="0"/>
          <w:szCs w:val="22"/>
        </w:rPr>
        <w:t>1</w:t>
      </w:r>
      <w:r w:rsidR="00AA60ED" w:rsidRPr="00C70DBA">
        <w:rPr>
          <w:b w:val="0"/>
          <w:szCs w:val="22"/>
        </w:rPr>
        <w:t xml:space="preserve">50,000 </w:t>
      </w:r>
      <w:r w:rsidRPr="00C70DBA">
        <w:rPr>
          <w:b w:val="0"/>
        </w:rPr>
        <w:t xml:space="preserve">under the Scheme are subject to the </w:t>
      </w:r>
      <w:r w:rsidR="00AA60ED" w:rsidRPr="00C70DBA">
        <w:rPr>
          <w:b w:val="0"/>
        </w:rPr>
        <w:t>terms</w:t>
      </w:r>
    </w:p>
    <w:p w14:paraId="61DADC44" w14:textId="77777777" w:rsidR="004A2FF7" w:rsidRPr="004B6804" w:rsidRDefault="00947A05">
      <w:pPr>
        <w:pStyle w:val="ClauseHeading"/>
        <w:numPr>
          <w:ilvl w:val="0"/>
          <w:numId w:val="0"/>
        </w:numPr>
        <w:rPr>
          <w:rStyle w:val="Hyperlink"/>
          <w:b w:val="0"/>
          <w:i/>
          <w:szCs w:val="22"/>
        </w:rPr>
      </w:pPr>
      <w:r w:rsidRPr="00C70DBA">
        <w:rPr>
          <w:b w:val="0"/>
        </w:rPr>
        <w:t>and</w:t>
      </w:r>
      <w:r w:rsidR="00AA60ED" w:rsidRPr="00C70DBA">
        <w:rPr>
          <w:b w:val="0"/>
        </w:rPr>
        <w:t xml:space="preserve"> </w:t>
      </w:r>
      <w:r w:rsidRPr="00C70DBA">
        <w:rPr>
          <w:b w:val="0"/>
        </w:rPr>
        <w:t>conditions</w:t>
      </w:r>
      <w:r w:rsidR="00AA60ED" w:rsidRPr="00C70DBA">
        <w:rPr>
          <w:b w:val="0"/>
        </w:rPr>
        <w:t xml:space="preserve"> </w:t>
      </w:r>
      <w:r w:rsidR="00AA60ED" w:rsidRPr="00AF6AFE">
        <w:rPr>
          <w:b w:val="0"/>
          <w:szCs w:val="22"/>
        </w:rPr>
        <w:t>contained in the standard form</w:t>
      </w:r>
      <w:r w:rsidRPr="00AF6AFE">
        <w:rPr>
          <w:b w:val="0"/>
          <w:szCs w:val="22"/>
        </w:rPr>
        <w:t xml:space="preserve"> </w:t>
      </w:r>
      <w:r w:rsidR="004A2FF7" w:rsidRPr="00AF6AFE">
        <w:rPr>
          <w:b w:val="0"/>
          <w:i/>
          <w:szCs w:val="22"/>
        </w:rPr>
        <w:fldChar w:fldCharType="begin"/>
      </w:r>
      <w:r w:rsidR="004A2FF7" w:rsidRPr="00AF6AFE">
        <w:rPr>
          <w:b w:val="0"/>
          <w:i/>
          <w:szCs w:val="22"/>
        </w:rPr>
        <w:instrText xml:space="preserve"> HYPERLINK "https://www.procurepoint.nsw.gov.au/before-you-buy/procurement-system-construction/standard-form-documents-construction/mini-minor-works" </w:instrText>
      </w:r>
      <w:r w:rsidR="004A2FF7" w:rsidRPr="00AF6AFE">
        <w:rPr>
          <w:b w:val="0"/>
          <w:i/>
          <w:szCs w:val="22"/>
        </w:rPr>
        <w:fldChar w:fldCharType="separate"/>
      </w:r>
      <w:r w:rsidR="004A2FF7" w:rsidRPr="00AF6AFE">
        <w:rPr>
          <w:rStyle w:val="Hyperlink"/>
          <w:b w:val="0"/>
          <w:i/>
          <w:szCs w:val="22"/>
        </w:rPr>
        <w:t>Mini Minor Works General Conditions</w:t>
      </w:r>
    </w:p>
    <w:p w14:paraId="2440FAF7" w14:textId="77777777" w:rsidR="00947A05" w:rsidRPr="00AF6AFE" w:rsidRDefault="004A2FF7">
      <w:pPr>
        <w:pStyle w:val="ClauseHeading"/>
        <w:numPr>
          <w:ilvl w:val="0"/>
          <w:numId w:val="0"/>
        </w:numPr>
        <w:rPr>
          <w:b w:val="0"/>
          <w:szCs w:val="22"/>
        </w:rPr>
      </w:pPr>
      <w:r w:rsidRPr="00AF6AFE">
        <w:rPr>
          <w:rStyle w:val="Hyperlink"/>
          <w:b w:val="0"/>
          <w:i/>
          <w:szCs w:val="22"/>
        </w:rPr>
        <w:t>of Contract</w:t>
      </w:r>
      <w:r w:rsidRPr="00AF6AFE">
        <w:rPr>
          <w:b w:val="0"/>
          <w:i/>
          <w:szCs w:val="22"/>
        </w:rPr>
        <w:fldChar w:fldCharType="end"/>
      </w:r>
      <w:r w:rsidRPr="00AF6AFE">
        <w:rPr>
          <w:b w:val="0"/>
          <w:i/>
          <w:szCs w:val="22"/>
        </w:rPr>
        <w:t>.</w:t>
      </w:r>
      <w:r w:rsidR="00947A05" w:rsidRPr="00AF6AFE">
        <w:rPr>
          <w:b w:val="0"/>
          <w:szCs w:val="22"/>
        </w:rPr>
        <w:t xml:space="preserve"> </w:t>
      </w:r>
      <w:r w:rsidR="00AF6AFE" w:rsidRPr="004B6804">
        <w:rPr>
          <w:rFonts w:eastAsia="Calibri"/>
          <w:b w:val="0"/>
          <w:bCs w:val="0"/>
          <w:iCs/>
          <w:color w:val="000000" w:themeColor="text1"/>
          <w:szCs w:val="22"/>
        </w:rPr>
        <w:t>However, for Scheme engagements below $30,000, agencies can use alternative terms and conditions (e.g. agency specific terms and conditions, a supplier’s terms and conditions etc.) if the agency believes the alternative terms and conditions can adequately govern the engagement, having considered the level of risk associated.</w:t>
      </w:r>
    </w:p>
    <w:p w14:paraId="6BE89C89" w14:textId="77777777" w:rsidR="00AA60ED" w:rsidRPr="00C70DBA" w:rsidRDefault="00AA60ED" w:rsidP="00AA60ED">
      <w:pPr>
        <w:pStyle w:val="ClauseHeading"/>
        <w:numPr>
          <w:ilvl w:val="0"/>
          <w:numId w:val="0"/>
        </w:numPr>
        <w:ind w:left="360" w:hanging="360"/>
        <w:rPr>
          <w:b w:val="0"/>
          <w:szCs w:val="22"/>
        </w:rPr>
      </w:pPr>
    </w:p>
    <w:p w14:paraId="55CA268F" w14:textId="77777777" w:rsidR="0022351E" w:rsidRPr="00C70DBA" w:rsidRDefault="00AA60ED" w:rsidP="00AA60ED">
      <w:pPr>
        <w:pStyle w:val="ClauseHeading"/>
        <w:numPr>
          <w:ilvl w:val="0"/>
          <w:numId w:val="0"/>
        </w:numPr>
        <w:ind w:left="360" w:hanging="360"/>
        <w:rPr>
          <w:b w:val="0"/>
        </w:rPr>
      </w:pPr>
      <w:r w:rsidRPr="00C70DBA">
        <w:rPr>
          <w:b w:val="0"/>
          <w:szCs w:val="22"/>
        </w:rPr>
        <w:t>Contracts f</w:t>
      </w:r>
      <w:r w:rsidR="00947A05" w:rsidRPr="00C70DBA">
        <w:rPr>
          <w:b w:val="0"/>
          <w:szCs w:val="22"/>
        </w:rPr>
        <w:t>or work valued between $</w:t>
      </w:r>
      <w:r w:rsidR="00C70DBA">
        <w:rPr>
          <w:b w:val="0"/>
          <w:szCs w:val="22"/>
        </w:rPr>
        <w:t>1</w:t>
      </w:r>
      <w:r w:rsidR="00947A05" w:rsidRPr="00C70DBA">
        <w:rPr>
          <w:b w:val="0"/>
          <w:szCs w:val="22"/>
        </w:rPr>
        <w:t xml:space="preserve">50,000 and </w:t>
      </w:r>
      <w:r w:rsidR="008360E9" w:rsidRPr="008360E9">
        <w:rPr>
          <w:b w:val="0"/>
          <w:szCs w:val="22"/>
        </w:rPr>
        <w:t>$1 million</w:t>
      </w:r>
      <w:r w:rsidR="008360E9">
        <w:rPr>
          <w:b w:val="0"/>
          <w:i/>
          <w:szCs w:val="22"/>
        </w:rPr>
        <w:t xml:space="preserve"> </w:t>
      </w:r>
      <w:r w:rsidRPr="008360E9">
        <w:rPr>
          <w:b w:val="0"/>
          <w:szCs w:val="22"/>
        </w:rPr>
        <w:t>u</w:t>
      </w:r>
      <w:r w:rsidRPr="00C70DBA">
        <w:rPr>
          <w:b w:val="0"/>
        </w:rPr>
        <w:t>nder the Scheme are</w:t>
      </w:r>
      <w:r w:rsidR="0022351E" w:rsidRPr="00C70DBA">
        <w:rPr>
          <w:b w:val="0"/>
        </w:rPr>
        <w:t xml:space="preserve"> </w:t>
      </w:r>
    </w:p>
    <w:p w14:paraId="47362047" w14:textId="77777777" w:rsidR="004A2FF7" w:rsidRPr="00C70DBA" w:rsidRDefault="00AA60ED" w:rsidP="004A2FF7">
      <w:pPr>
        <w:pStyle w:val="ClauseHeading"/>
        <w:numPr>
          <w:ilvl w:val="0"/>
          <w:numId w:val="0"/>
        </w:numPr>
        <w:ind w:left="360" w:hanging="360"/>
        <w:rPr>
          <w:rStyle w:val="Hyperlink"/>
          <w:b w:val="0"/>
          <w:i/>
          <w:szCs w:val="22"/>
        </w:rPr>
      </w:pPr>
      <w:r w:rsidRPr="00C70DBA">
        <w:rPr>
          <w:b w:val="0"/>
        </w:rPr>
        <w:t xml:space="preserve">subject to the terms and conditions contained in the standard form </w:t>
      </w:r>
      <w:r w:rsidR="004A2FF7" w:rsidRPr="00C70DBA">
        <w:rPr>
          <w:b w:val="0"/>
          <w:i/>
          <w:szCs w:val="22"/>
        </w:rPr>
        <w:fldChar w:fldCharType="begin"/>
      </w:r>
      <w:r w:rsidR="004A2FF7" w:rsidRPr="00C70DBA">
        <w:rPr>
          <w:b w:val="0"/>
          <w:i/>
          <w:szCs w:val="22"/>
        </w:rPr>
        <w:instrText xml:space="preserve"> HYPERLINK "https://www.procurepoint.nsw.gov.au/before-you-buy/procurement-system-construction/standard-form-documents-construction/mw21" </w:instrText>
      </w:r>
      <w:r w:rsidR="004A2FF7" w:rsidRPr="00C70DBA">
        <w:rPr>
          <w:b w:val="0"/>
          <w:i/>
          <w:szCs w:val="22"/>
        </w:rPr>
        <w:fldChar w:fldCharType="separate"/>
      </w:r>
      <w:r w:rsidR="004A2FF7" w:rsidRPr="00C70DBA">
        <w:rPr>
          <w:rStyle w:val="Hyperlink"/>
          <w:b w:val="0"/>
          <w:i/>
          <w:szCs w:val="22"/>
        </w:rPr>
        <w:t>Minor Works</w:t>
      </w:r>
    </w:p>
    <w:p w14:paraId="028125F4" w14:textId="77777777" w:rsidR="004A2FF7" w:rsidRPr="008360E9" w:rsidRDefault="004A2FF7" w:rsidP="008360E9">
      <w:pPr>
        <w:pStyle w:val="ClauseHeading"/>
        <w:numPr>
          <w:ilvl w:val="0"/>
          <w:numId w:val="0"/>
        </w:numPr>
        <w:rPr>
          <w:b w:val="0"/>
          <w:szCs w:val="22"/>
        </w:rPr>
      </w:pPr>
      <w:r w:rsidRPr="00C70DBA">
        <w:rPr>
          <w:rStyle w:val="Hyperlink"/>
          <w:b w:val="0"/>
          <w:i/>
          <w:szCs w:val="22"/>
        </w:rPr>
        <w:t>General Conditions of Contract (MW21)</w:t>
      </w:r>
      <w:r w:rsidRPr="00C70DBA">
        <w:rPr>
          <w:b w:val="0"/>
          <w:i/>
          <w:szCs w:val="22"/>
        </w:rPr>
        <w:fldChar w:fldCharType="end"/>
      </w:r>
      <w:r w:rsidR="008360E9">
        <w:rPr>
          <w:b w:val="0"/>
          <w:szCs w:val="22"/>
        </w:rPr>
        <w:t xml:space="preserve"> unless otherwise indicated by the agency at the time of engagement.</w:t>
      </w:r>
    </w:p>
    <w:p w14:paraId="2F99B32B" w14:textId="77777777" w:rsidR="00947A05" w:rsidRPr="00947A05" w:rsidRDefault="00947A05" w:rsidP="00947A05">
      <w:pPr>
        <w:pStyle w:val="ClauseHeading"/>
        <w:numPr>
          <w:ilvl w:val="0"/>
          <w:numId w:val="0"/>
        </w:numPr>
        <w:ind w:left="360" w:hanging="360"/>
        <w:rPr>
          <w:b w:val="0"/>
          <w:szCs w:val="22"/>
          <w:highlight w:val="yellow"/>
        </w:rPr>
      </w:pPr>
    </w:p>
    <w:p w14:paraId="367B54F0" w14:textId="77777777" w:rsidR="00AA60ED" w:rsidRDefault="00520561" w:rsidP="005963BF">
      <w:pPr>
        <w:jc w:val="both"/>
        <w:rPr>
          <w:rFonts w:ascii="Arial" w:hAnsi="Arial" w:cs="Arial"/>
          <w:sz w:val="22"/>
          <w:szCs w:val="22"/>
        </w:rPr>
      </w:pPr>
      <w:r>
        <w:rPr>
          <w:rFonts w:ascii="Arial" w:hAnsi="Arial" w:cs="Arial"/>
          <w:sz w:val="22"/>
          <w:szCs w:val="22"/>
        </w:rPr>
        <w:t>C</w:t>
      </w:r>
      <w:r w:rsidR="000B0F97">
        <w:rPr>
          <w:rFonts w:ascii="Arial" w:hAnsi="Arial" w:cs="Arial"/>
          <w:sz w:val="22"/>
          <w:szCs w:val="22"/>
        </w:rPr>
        <w:t xml:space="preserve">ontract </w:t>
      </w:r>
      <w:r w:rsidR="00AA60ED">
        <w:rPr>
          <w:rFonts w:ascii="Arial" w:hAnsi="Arial" w:cs="Arial"/>
          <w:sz w:val="22"/>
          <w:szCs w:val="22"/>
        </w:rPr>
        <w:t xml:space="preserve">and related advisory material </w:t>
      </w:r>
      <w:r>
        <w:rPr>
          <w:rFonts w:ascii="Arial" w:hAnsi="Arial" w:cs="Arial"/>
          <w:sz w:val="22"/>
          <w:szCs w:val="22"/>
        </w:rPr>
        <w:t>is</w:t>
      </w:r>
      <w:r w:rsidR="000B0F97">
        <w:rPr>
          <w:rFonts w:ascii="Arial" w:hAnsi="Arial" w:cs="Arial"/>
          <w:sz w:val="22"/>
          <w:szCs w:val="22"/>
        </w:rPr>
        <w:t xml:space="preserve"> available on </w:t>
      </w:r>
      <w:hyperlink r:id="rId15" w:history="1">
        <w:proofErr w:type="spellStart"/>
        <w:r w:rsidR="000B0F97" w:rsidRPr="00AA60ED">
          <w:rPr>
            <w:rStyle w:val="Hyperlink"/>
            <w:rFonts w:ascii="Arial" w:hAnsi="Arial" w:cs="Arial"/>
            <w:sz w:val="22"/>
            <w:szCs w:val="22"/>
          </w:rPr>
          <w:t>ProcurePoint</w:t>
        </w:r>
        <w:proofErr w:type="spellEnd"/>
      </w:hyperlink>
      <w:r w:rsidR="000B0F97">
        <w:rPr>
          <w:rFonts w:ascii="Arial" w:hAnsi="Arial" w:cs="Arial"/>
          <w:sz w:val="22"/>
          <w:szCs w:val="22"/>
        </w:rPr>
        <w:t xml:space="preserve">. </w:t>
      </w:r>
    </w:p>
    <w:p w14:paraId="34763D46" w14:textId="77777777" w:rsidR="00B2169D" w:rsidRPr="00947A05" w:rsidRDefault="00B2169D" w:rsidP="005963BF">
      <w:pPr>
        <w:jc w:val="both"/>
        <w:rPr>
          <w:rFonts w:ascii="Arial" w:hAnsi="Arial" w:cs="Arial"/>
          <w:sz w:val="22"/>
          <w:szCs w:val="22"/>
        </w:rPr>
      </w:pPr>
    </w:p>
    <w:p w14:paraId="37198836" w14:textId="77777777" w:rsidR="00C23745" w:rsidRDefault="00C23745" w:rsidP="005963BF">
      <w:pPr>
        <w:pStyle w:val="ClauseHeading"/>
        <w:jc w:val="both"/>
      </w:pPr>
      <w:bookmarkStart w:id="18" w:name="_Toc49847032"/>
      <w:bookmarkStart w:id="19" w:name="_Toc79838013"/>
      <w:bookmarkStart w:id="20" w:name="_Toc110911987"/>
      <w:bookmarkStart w:id="21" w:name="_Toc169682150"/>
      <w:bookmarkStart w:id="22" w:name="_Toc174952013"/>
      <w:bookmarkStart w:id="23" w:name="_Toc174952119"/>
      <w:bookmarkStart w:id="24" w:name="_Toc273633640"/>
      <w:r>
        <w:t>Suspension</w:t>
      </w:r>
      <w:bookmarkEnd w:id="18"/>
      <w:bookmarkEnd w:id="19"/>
      <w:bookmarkEnd w:id="20"/>
      <w:bookmarkEnd w:id="21"/>
      <w:bookmarkEnd w:id="22"/>
      <w:bookmarkEnd w:id="23"/>
      <w:bookmarkEnd w:id="24"/>
      <w:r w:rsidR="003122DF">
        <w:t xml:space="preserve"> from the Scheme</w:t>
      </w:r>
    </w:p>
    <w:p w14:paraId="698B5B07" w14:textId="77777777" w:rsidR="00507F56" w:rsidRDefault="0085716F" w:rsidP="005963BF">
      <w:pPr>
        <w:pStyle w:val="Clausenumber"/>
        <w:numPr>
          <w:ilvl w:val="0"/>
          <w:numId w:val="0"/>
        </w:numPr>
      </w:pPr>
      <w:r>
        <w:t>DFSI</w:t>
      </w:r>
      <w:r w:rsidR="005336A5">
        <w:t xml:space="preserve"> </w:t>
      </w:r>
      <w:r w:rsidR="00C23745">
        <w:t>may suspend a contractor from the Scheme</w:t>
      </w:r>
      <w:r w:rsidR="003122DF">
        <w:t xml:space="preserve"> </w:t>
      </w:r>
      <w:r w:rsidR="00C23745">
        <w:t>for up to three months if</w:t>
      </w:r>
      <w:r w:rsidR="00507F56">
        <w:t xml:space="preserve"> the </w:t>
      </w:r>
      <w:r w:rsidR="00BC58FF">
        <w:t>contractor</w:t>
      </w:r>
      <w:r w:rsidR="00507F56">
        <w:t>:</w:t>
      </w:r>
    </w:p>
    <w:p w14:paraId="22300C76" w14:textId="77777777" w:rsidR="00507F56" w:rsidRPr="00520561" w:rsidRDefault="00507F56" w:rsidP="00086EE7">
      <w:pPr>
        <w:numPr>
          <w:ilvl w:val="0"/>
          <w:numId w:val="11"/>
        </w:numPr>
        <w:rPr>
          <w:rFonts w:ascii="Arial" w:hAnsi="Arial" w:cs="Arial"/>
          <w:sz w:val="22"/>
          <w:szCs w:val="22"/>
        </w:rPr>
      </w:pPr>
      <w:r w:rsidRPr="00520561">
        <w:rPr>
          <w:rFonts w:ascii="Arial" w:hAnsi="Arial" w:cs="Arial"/>
          <w:sz w:val="22"/>
          <w:szCs w:val="22"/>
        </w:rPr>
        <w:t xml:space="preserve">has </w:t>
      </w:r>
      <w:r w:rsidR="00C23745" w:rsidRPr="00520561">
        <w:rPr>
          <w:rFonts w:ascii="Arial" w:hAnsi="Arial" w:cs="Arial"/>
          <w:sz w:val="22"/>
          <w:szCs w:val="22"/>
        </w:rPr>
        <w:t xml:space="preserve">not complied with </w:t>
      </w:r>
      <w:r w:rsidR="006C3319" w:rsidRPr="00520561">
        <w:rPr>
          <w:rFonts w:ascii="Arial" w:hAnsi="Arial" w:cs="Arial"/>
          <w:sz w:val="22"/>
          <w:szCs w:val="22"/>
        </w:rPr>
        <w:t xml:space="preserve">Scheme </w:t>
      </w:r>
      <w:r w:rsidR="007F625C" w:rsidRPr="00520561">
        <w:rPr>
          <w:rFonts w:ascii="Arial" w:hAnsi="Arial" w:cs="Arial"/>
          <w:sz w:val="22"/>
          <w:szCs w:val="22"/>
        </w:rPr>
        <w:t>requirements</w:t>
      </w:r>
    </w:p>
    <w:p w14:paraId="285ADA71" w14:textId="77777777" w:rsidR="00520561" w:rsidRPr="00520561" w:rsidRDefault="00507F56" w:rsidP="00086EE7">
      <w:pPr>
        <w:numPr>
          <w:ilvl w:val="0"/>
          <w:numId w:val="11"/>
        </w:numPr>
        <w:rPr>
          <w:rFonts w:ascii="Arial" w:hAnsi="Arial" w:cs="Arial"/>
          <w:sz w:val="22"/>
          <w:szCs w:val="22"/>
        </w:rPr>
      </w:pPr>
      <w:r w:rsidRPr="00520561">
        <w:rPr>
          <w:rFonts w:ascii="Arial" w:hAnsi="Arial" w:cs="Arial"/>
          <w:sz w:val="22"/>
          <w:szCs w:val="22"/>
        </w:rPr>
        <w:t xml:space="preserve">has not </w:t>
      </w:r>
      <w:r w:rsidR="00BC58FF" w:rsidRPr="00520561">
        <w:rPr>
          <w:rFonts w:ascii="Arial" w:hAnsi="Arial" w:cs="Arial"/>
          <w:sz w:val="22"/>
          <w:szCs w:val="22"/>
        </w:rPr>
        <w:t>demonstrated satisfactory performance</w:t>
      </w:r>
    </w:p>
    <w:p w14:paraId="407AF725" w14:textId="77777777" w:rsidR="00BC58FF" w:rsidRPr="00520561" w:rsidRDefault="00507F56" w:rsidP="00086EE7">
      <w:pPr>
        <w:numPr>
          <w:ilvl w:val="0"/>
          <w:numId w:val="11"/>
        </w:numPr>
        <w:rPr>
          <w:rFonts w:ascii="Arial" w:hAnsi="Arial" w:cs="Arial"/>
          <w:sz w:val="22"/>
          <w:szCs w:val="22"/>
        </w:rPr>
      </w:pPr>
      <w:r w:rsidRPr="00520561">
        <w:rPr>
          <w:rFonts w:ascii="Arial" w:hAnsi="Arial" w:cs="Arial"/>
          <w:sz w:val="22"/>
          <w:szCs w:val="22"/>
        </w:rPr>
        <w:t>the contractor is named in an Inquiry or proceedings conducted by the Independent Commission Against Corruption (ICAC)</w:t>
      </w:r>
    </w:p>
    <w:p w14:paraId="486814F7" w14:textId="77777777" w:rsidR="00C23745" w:rsidRDefault="00C23745" w:rsidP="005963BF">
      <w:pPr>
        <w:pStyle w:val="Clausenumber"/>
        <w:numPr>
          <w:ilvl w:val="0"/>
          <w:numId w:val="0"/>
        </w:numPr>
        <w:ind w:left="360"/>
      </w:pPr>
    </w:p>
    <w:p w14:paraId="5BF92F5B" w14:textId="77777777" w:rsidR="009258EE" w:rsidRDefault="0085716F" w:rsidP="005963BF">
      <w:pPr>
        <w:pStyle w:val="Clausenumber"/>
        <w:numPr>
          <w:ilvl w:val="0"/>
          <w:numId w:val="0"/>
        </w:numPr>
        <w:rPr>
          <w:szCs w:val="24"/>
        </w:rPr>
      </w:pPr>
      <w:r>
        <w:rPr>
          <w:szCs w:val="24"/>
        </w:rPr>
        <w:t>DFSI</w:t>
      </w:r>
      <w:r w:rsidR="005336A5">
        <w:rPr>
          <w:szCs w:val="24"/>
        </w:rPr>
        <w:t xml:space="preserve"> </w:t>
      </w:r>
      <w:r w:rsidR="00507F56">
        <w:rPr>
          <w:szCs w:val="24"/>
        </w:rPr>
        <w:t xml:space="preserve">is not obliged to </w:t>
      </w:r>
      <w:r w:rsidR="009258EE">
        <w:rPr>
          <w:szCs w:val="24"/>
        </w:rPr>
        <w:t xml:space="preserve">advise the contractor </w:t>
      </w:r>
      <w:r w:rsidR="00507F56">
        <w:rPr>
          <w:szCs w:val="24"/>
        </w:rPr>
        <w:t xml:space="preserve">prior to </w:t>
      </w:r>
      <w:proofErr w:type="gramStart"/>
      <w:r w:rsidR="00507F56">
        <w:rPr>
          <w:szCs w:val="24"/>
        </w:rPr>
        <w:t>making a decision</w:t>
      </w:r>
      <w:proofErr w:type="gramEnd"/>
      <w:r w:rsidR="00507F56">
        <w:rPr>
          <w:szCs w:val="24"/>
        </w:rPr>
        <w:t xml:space="preserve"> to suspend.</w:t>
      </w:r>
    </w:p>
    <w:p w14:paraId="019A97EB" w14:textId="77777777" w:rsidR="00507F56" w:rsidRDefault="00507F56" w:rsidP="005963BF">
      <w:pPr>
        <w:pStyle w:val="Clausenumber"/>
        <w:numPr>
          <w:ilvl w:val="0"/>
          <w:numId w:val="0"/>
        </w:numPr>
        <w:rPr>
          <w:szCs w:val="24"/>
        </w:rPr>
      </w:pPr>
    </w:p>
    <w:p w14:paraId="22C2CE64" w14:textId="77777777" w:rsidR="00507F56" w:rsidRDefault="00507F56" w:rsidP="005963BF">
      <w:pPr>
        <w:pStyle w:val="Clausenumber"/>
        <w:numPr>
          <w:ilvl w:val="0"/>
          <w:numId w:val="0"/>
        </w:numPr>
        <w:rPr>
          <w:szCs w:val="24"/>
        </w:rPr>
      </w:pPr>
      <w:r>
        <w:rPr>
          <w:szCs w:val="24"/>
        </w:rPr>
        <w:t xml:space="preserve">If </w:t>
      </w:r>
      <w:r w:rsidR="0085716F">
        <w:rPr>
          <w:szCs w:val="24"/>
        </w:rPr>
        <w:t>DFSI</w:t>
      </w:r>
      <w:r>
        <w:rPr>
          <w:szCs w:val="24"/>
        </w:rPr>
        <w:t xml:space="preserve"> suspends a contractor, it will provide information </w:t>
      </w:r>
      <w:r w:rsidR="00E75755">
        <w:t>as soon as practicable to the contractor about the reasons for the suspension.</w:t>
      </w:r>
    </w:p>
    <w:p w14:paraId="267498C4" w14:textId="77777777" w:rsidR="00C23745" w:rsidRDefault="00C23745" w:rsidP="005963BF">
      <w:pPr>
        <w:pStyle w:val="Clausenumber"/>
        <w:numPr>
          <w:ilvl w:val="0"/>
          <w:numId w:val="0"/>
        </w:numPr>
      </w:pPr>
    </w:p>
    <w:p w14:paraId="62154C4A" w14:textId="77777777" w:rsidR="00C23745" w:rsidRDefault="00E75755" w:rsidP="005963BF">
      <w:pPr>
        <w:pStyle w:val="Clausenumber"/>
        <w:numPr>
          <w:ilvl w:val="0"/>
          <w:numId w:val="0"/>
        </w:numPr>
      </w:pPr>
      <w:r>
        <w:t xml:space="preserve">If a contractor who has been </w:t>
      </w:r>
      <w:r w:rsidR="000A4AD5">
        <w:t xml:space="preserve">suspended from the Scheme </w:t>
      </w:r>
      <w:r>
        <w:t xml:space="preserve">does not respond or fails to demonstrate that </w:t>
      </w:r>
      <w:r w:rsidR="00C23745">
        <w:t xml:space="preserve">appropriate </w:t>
      </w:r>
      <w:r>
        <w:t xml:space="preserve">remedial </w:t>
      </w:r>
      <w:r w:rsidR="00C23745">
        <w:t xml:space="preserve">action to address the reasons for the </w:t>
      </w:r>
      <w:r w:rsidR="00C23745">
        <w:lastRenderedPageBreak/>
        <w:t>suspension</w:t>
      </w:r>
      <w:r>
        <w:t xml:space="preserve"> has been taken, </w:t>
      </w:r>
      <w:r w:rsidR="0085716F">
        <w:t>DFSI</w:t>
      </w:r>
      <w:r>
        <w:t xml:space="preserve"> may remove the contractor from the Scheme at the end of the period of suspension</w:t>
      </w:r>
      <w:r w:rsidR="00C23745">
        <w:t xml:space="preserve">. </w:t>
      </w:r>
    </w:p>
    <w:p w14:paraId="661C941A" w14:textId="77777777" w:rsidR="00C23745" w:rsidRDefault="00C23745" w:rsidP="005963BF">
      <w:pPr>
        <w:pStyle w:val="Heading2"/>
        <w:jc w:val="both"/>
        <w:rPr>
          <w:rFonts w:cs="Arial"/>
          <w:bCs/>
          <w:sz w:val="22"/>
          <w:szCs w:val="24"/>
          <w:lang w:val="en-AU"/>
        </w:rPr>
      </w:pPr>
    </w:p>
    <w:p w14:paraId="716A8A1A" w14:textId="77777777" w:rsidR="00C23745" w:rsidRDefault="00C23745" w:rsidP="005963BF">
      <w:pPr>
        <w:pStyle w:val="ClauseHeading"/>
        <w:jc w:val="both"/>
      </w:pPr>
      <w:bookmarkStart w:id="25" w:name="_Toc49847034"/>
      <w:bookmarkStart w:id="26" w:name="_Toc79838015"/>
      <w:bookmarkStart w:id="27" w:name="_Toc110911989"/>
      <w:bookmarkStart w:id="28" w:name="_Toc169682152"/>
      <w:bookmarkStart w:id="29" w:name="_Toc174952015"/>
      <w:bookmarkStart w:id="30" w:name="_Toc174952121"/>
      <w:bookmarkStart w:id="31" w:name="_Toc273633642"/>
      <w:r>
        <w:t xml:space="preserve">Removal </w:t>
      </w:r>
      <w:r w:rsidR="00BC58FF">
        <w:t>from the scheme</w:t>
      </w:r>
      <w:bookmarkEnd w:id="25"/>
      <w:bookmarkEnd w:id="26"/>
      <w:bookmarkEnd w:id="27"/>
      <w:r>
        <w:t xml:space="preserve"> </w:t>
      </w:r>
      <w:bookmarkEnd w:id="28"/>
      <w:bookmarkEnd w:id="29"/>
      <w:bookmarkEnd w:id="30"/>
      <w:bookmarkEnd w:id="31"/>
    </w:p>
    <w:p w14:paraId="1F40ED6D" w14:textId="77777777" w:rsidR="00C23745" w:rsidRDefault="0085716F" w:rsidP="005963BF">
      <w:pPr>
        <w:pStyle w:val="Clausenumber"/>
        <w:numPr>
          <w:ilvl w:val="0"/>
          <w:numId w:val="0"/>
        </w:numPr>
      </w:pPr>
      <w:r>
        <w:t>DFSI</w:t>
      </w:r>
      <w:r w:rsidR="009B7D0D">
        <w:t xml:space="preserve"> </w:t>
      </w:r>
      <w:r w:rsidR="00C23745">
        <w:t>may rev</w:t>
      </w:r>
      <w:r w:rsidR="00BC58FF">
        <w:t>ok</w:t>
      </w:r>
      <w:r w:rsidR="00C23745">
        <w:t xml:space="preserve">e a contractor’s prequalification </w:t>
      </w:r>
      <w:proofErr w:type="gramStart"/>
      <w:r w:rsidR="00341084">
        <w:t>as a result of</w:t>
      </w:r>
      <w:proofErr w:type="gramEnd"/>
      <w:r w:rsidR="00341084">
        <w:t xml:space="preserve"> findings of </w:t>
      </w:r>
      <w:r w:rsidR="009B7D0D" w:rsidRPr="0068291B">
        <w:rPr>
          <w:rStyle w:val="Strong"/>
          <w:b w:val="0"/>
          <w:bCs w:val="0"/>
          <w:color w:val="000000"/>
          <w:lang w:val="en"/>
        </w:rPr>
        <w:t>dishonest</w:t>
      </w:r>
      <w:r w:rsidR="00341084" w:rsidRPr="0068291B">
        <w:rPr>
          <w:rStyle w:val="Strong"/>
          <w:b w:val="0"/>
          <w:bCs w:val="0"/>
          <w:color w:val="000000"/>
          <w:lang w:val="en"/>
        </w:rPr>
        <w:t xml:space="preserve">, unfair, unconscionable, corrupt or otherwise illegal conduct by </w:t>
      </w:r>
      <w:r w:rsidR="00341084">
        <w:rPr>
          <w:rStyle w:val="Strong"/>
          <w:b w:val="0"/>
          <w:bCs w:val="0"/>
          <w:color w:val="000000"/>
          <w:lang w:val="en"/>
        </w:rPr>
        <w:t>the contractor</w:t>
      </w:r>
      <w:r w:rsidR="00BC58FF">
        <w:rPr>
          <w:rStyle w:val="Strong"/>
          <w:b w:val="0"/>
          <w:bCs w:val="0"/>
          <w:color w:val="000000"/>
          <w:lang w:val="en"/>
        </w:rPr>
        <w:t>, or</w:t>
      </w:r>
      <w:r w:rsidR="00341084" w:rsidDel="00B514CF">
        <w:t xml:space="preserve"> </w:t>
      </w:r>
      <w:r w:rsidR="00C23745">
        <w:t xml:space="preserve">when </w:t>
      </w:r>
      <w:r w:rsidR="003E2D57">
        <w:t>it</w:t>
      </w:r>
      <w:r w:rsidR="00C23745">
        <w:t xml:space="preserve"> considers that a contractor has</w:t>
      </w:r>
      <w:r w:rsidR="000C6A4A">
        <w:t xml:space="preserve"> not met a requirement of the Scheme. This ma</w:t>
      </w:r>
      <w:r w:rsidR="00B726DB">
        <w:t>y include but is not limited to the contractor</w:t>
      </w:r>
      <w:r w:rsidR="00C23745">
        <w:t>:</w:t>
      </w:r>
    </w:p>
    <w:p w14:paraId="18E12A51" w14:textId="77777777" w:rsidR="00C23745" w:rsidRDefault="00BC58FF" w:rsidP="00086EE7">
      <w:pPr>
        <w:pStyle w:val="tablebody"/>
        <w:numPr>
          <w:ilvl w:val="0"/>
          <w:numId w:val="7"/>
        </w:numPr>
        <w:jc w:val="both"/>
        <w:rPr>
          <w:rFonts w:cs="Arial"/>
        </w:rPr>
      </w:pPr>
      <w:r>
        <w:rPr>
          <w:rFonts w:cs="Arial"/>
        </w:rPr>
        <w:t>provid</w:t>
      </w:r>
      <w:r w:rsidR="00B726DB">
        <w:rPr>
          <w:rFonts w:cs="Arial"/>
        </w:rPr>
        <w:t>ing</w:t>
      </w:r>
      <w:r>
        <w:rPr>
          <w:rFonts w:cs="Arial"/>
        </w:rPr>
        <w:t xml:space="preserve"> false or misleading information in their </w:t>
      </w:r>
      <w:r w:rsidR="00502943">
        <w:rPr>
          <w:rFonts w:cs="Arial"/>
        </w:rPr>
        <w:t>A</w:t>
      </w:r>
      <w:r>
        <w:rPr>
          <w:rFonts w:cs="Arial"/>
        </w:rPr>
        <w:t>pplication</w:t>
      </w:r>
    </w:p>
    <w:p w14:paraId="1121365A" w14:textId="77777777" w:rsidR="000954B4" w:rsidRDefault="00341084" w:rsidP="00086EE7">
      <w:pPr>
        <w:pStyle w:val="tablebody"/>
        <w:numPr>
          <w:ilvl w:val="0"/>
          <w:numId w:val="7"/>
        </w:numPr>
        <w:jc w:val="both"/>
        <w:rPr>
          <w:rFonts w:cs="Arial"/>
        </w:rPr>
      </w:pPr>
      <w:proofErr w:type="gramStart"/>
      <w:r>
        <w:rPr>
          <w:rFonts w:cs="Arial"/>
        </w:rPr>
        <w:t>enter</w:t>
      </w:r>
      <w:r w:rsidR="00B726DB">
        <w:rPr>
          <w:rFonts w:cs="Arial"/>
        </w:rPr>
        <w:t>ing</w:t>
      </w:r>
      <w:r>
        <w:rPr>
          <w:rFonts w:cs="Arial"/>
        </w:rPr>
        <w:t xml:space="preserve"> into </w:t>
      </w:r>
      <w:r w:rsidR="00CD109B">
        <w:rPr>
          <w:rFonts w:cs="Arial"/>
        </w:rPr>
        <w:t>any</w:t>
      </w:r>
      <w:proofErr w:type="gramEnd"/>
      <w:r w:rsidR="00CD109B">
        <w:rPr>
          <w:rFonts w:cs="Arial"/>
        </w:rPr>
        <w:t xml:space="preserve"> form of external administration </w:t>
      </w:r>
    </w:p>
    <w:p w14:paraId="422ED4C4" w14:textId="77777777" w:rsidR="000954B4" w:rsidRDefault="00B726DB" w:rsidP="00086EE7">
      <w:pPr>
        <w:numPr>
          <w:ilvl w:val="0"/>
          <w:numId w:val="7"/>
        </w:numPr>
        <w:spacing w:before="60" w:after="60"/>
        <w:jc w:val="both"/>
        <w:rPr>
          <w:rFonts w:ascii="Arial" w:hAnsi="Arial" w:cs="Arial"/>
          <w:sz w:val="22"/>
        </w:rPr>
      </w:pPr>
      <w:r>
        <w:rPr>
          <w:rFonts w:ascii="Arial" w:hAnsi="Arial" w:cs="Arial"/>
          <w:sz w:val="22"/>
          <w:szCs w:val="22"/>
        </w:rPr>
        <w:t>failing</w:t>
      </w:r>
      <w:r w:rsidR="000954B4" w:rsidRPr="0068291B">
        <w:rPr>
          <w:rFonts w:ascii="Arial" w:hAnsi="Arial" w:cs="Arial"/>
          <w:sz w:val="22"/>
          <w:szCs w:val="22"/>
        </w:rPr>
        <w:t xml:space="preserve"> to meet any financial requirements</w:t>
      </w:r>
      <w:r w:rsidR="000954B4">
        <w:rPr>
          <w:rFonts w:ascii="Arial" w:hAnsi="Arial" w:cs="Arial"/>
          <w:sz w:val="22"/>
        </w:rPr>
        <w:t xml:space="preserve"> and/or experienced an adverse change in capacity or capability</w:t>
      </w:r>
    </w:p>
    <w:p w14:paraId="19A53447" w14:textId="77777777" w:rsidR="003E2D57" w:rsidRDefault="003E2D57" w:rsidP="00086EE7">
      <w:pPr>
        <w:numPr>
          <w:ilvl w:val="0"/>
          <w:numId w:val="7"/>
        </w:numPr>
        <w:spacing w:before="60" w:after="60"/>
        <w:jc w:val="both"/>
        <w:rPr>
          <w:rFonts w:ascii="Arial" w:hAnsi="Arial" w:cs="Arial"/>
          <w:sz w:val="22"/>
        </w:rPr>
      </w:pPr>
      <w:r>
        <w:rPr>
          <w:rFonts w:ascii="Arial" w:hAnsi="Arial" w:cs="Arial"/>
          <w:sz w:val="22"/>
        </w:rPr>
        <w:t>making false or misleading claims about their prequalification</w:t>
      </w:r>
      <w:r w:rsidR="00917F7D">
        <w:rPr>
          <w:rFonts w:ascii="Arial" w:hAnsi="Arial" w:cs="Arial"/>
          <w:sz w:val="22"/>
        </w:rPr>
        <w:t>/registration</w:t>
      </w:r>
      <w:r>
        <w:rPr>
          <w:rFonts w:ascii="Arial" w:hAnsi="Arial" w:cs="Arial"/>
          <w:sz w:val="22"/>
        </w:rPr>
        <w:t xml:space="preserve"> status</w:t>
      </w:r>
    </w:p>
    <w:p w14:paraId="71D34FCC" w14:textId="77777777" w:rsidR="00C23745" w:rsidRDefault="00B726DB" w:rsidP="00086EE7">
      <w:pPr>
        <w:pStyle w:val="tablebody"/>
        <w:numPr>
          <w:ilvl w:val="0"/>
          <w:numId w:val="7"/>
        </w:numPr>
        <w:jc w:val="both"/>
        <w:rPr>
          <w:rFonts w:cs="Arial"/>
        </w:rPr>
      </w:pPr>
      <w:r>
        <w:rPr>
          <w:rFonts w:cs="Arial"/>
        </w:rPr>
        <w:t>being</w:t>
      </w:r>
      <w:r w:rsidR="00C23745">
        <w:rPr>
          <w:rFonts w:cs="Arial"/>
        </w:rPr>
        <w:t xml:space="preserve"> the subject of substantiated reports of unsatisfactory performance </w:t>
      </w:r>
    </w:p>
    <w:p w14:paraId="52A9344D" w14:textId="77777777" w:rsidR="00C23745" w:rsidRPr="003B093A" w:rsidRDefault="00B726DB" w:rsidP="00086EE7">
      <w:pPr>
        <w:numPr>
          <w:ilvl w:val="0"/>
          <w:numId w:val="7"/>
        </w:numPr>
        <w:spacing w:before="60" w:after="60"/>
        <w:jc w:val="both"/>
        <w:rPr>
          <w:rFonts w:ascii="Arial" w:hAnsi="Arial" w:cs="Arial"/>
          <w:sz w:val="22"/>
        </w:rPr>
      </w:pPr>
      <w:r>
        <w:rPr>
          <w:rFonts w:ascii="Arial" w:hAnsi="Arial" w:cs="Arial"/>
          <w:sz w:val="22"/>
        </w:rPr>
        <w:t>demonstrating</w:t>
      </w:r>
      <w:r w:rsidR="000C6A4A" w:rsidRPr="003B093A">
        <w:rPr>
          <w:rFonts w:ascii="Arial" w:hAnsi="Arial" w:cs="Arial"/>
          <w:sz w:val="22"/>
        </w:rPr>
        <w:t xml:space="preserve"> </w:t>
      </w:r>
      <w:r w:rsidR="00C23745" w:rsidRPr="003B093A">
        <w:rPr>
          <w:rFonts w:ascii="Arial" w:hAnsi="Arial" w:cs="Arial"/>
          <w:sz w:val="22"/>
        </w:rPr>
        <w:t>unsatisfactory tendering performance</w:t>
      </w:r>
      <w:r w:rsidR="009442BA">
        <w:rPr>
          <w:rFonts w:ascii="Arial" w:hAnsi="Arial" w:cs="Arial"/>
          <w:sz w:val="22"/>
        </w:rPr>
        <w:t xml:space="preserve"> which may include repeated failure to respond to invitations to tender</w:t>
      </w:r>
    </w:p>
    <w:p w14:paraId="40485D17" w14:textId="77777777" w:rsidR="00C23745" w:rsidRDefault="000954B4" w:rsidP="00086EE7">
      <w:pPr>
        <w:numPr>
          <w:ilvl w:val="0"/>
          <w:numId w:val="7"/>
        </w:numPr>
        <w:spacing w:before="120" w:after="120"/>
        <w:jc w:val="both"/>
        <w:rPr>
          <w:rFonts w:ascii="Arial" w:hAnsi="Arial" w:cs="Arial"/>
          <w:sz w:val="22"/>
        </w:rPr>
      </w:pPr>
      <w:r>
        <w:rPr>
          <w:rFonts w:ascii="Arial" w:hAnsi="Arial" w:cs="Arial"/>
          <w:sz w:val="22"/>
        </w:rPr>
        <w:t>fail</w:t>
      </w:r>
      <w:r w:rsidR="00B726DB">
        <w:rPr>
          <w:rFonts w:ascii="Arial" w:hAnsi="Arial" w:cs="Arial"/>
          <w:sz w:val="22"/>
        </w:rPr>
        <w:t>ing</w:t>
      </w:r>
      <w:r>
        <w:rPr>
          <w:rFonts w:ascii="Arial" w:hAnsi="Arial" w:cs="Arial"/>
          <w:sz w:val="22"/>
        </w:rPr>
        <w:t xml:space="preserve"> </w:t>
      </w:r>
      <w:r w:rsidR="00C23745">
        <w:rPr>
          <w:rFonts w:ascii="Arial" w:hAnsi="Arial" w:cs="Arial"/>
          <w:sz w:val="22"/>
        </w:rPr>
        <w:t xml:space="preserve">to promptly and adequately resolve reasons for a suspension </w:t>
      </w:r>
    </w:p>
    <w:p w14:paraId="33282382" w14:textId="77777777" w:rsidR="003E6235" w:rsidRDefault="00482AA1" w:rsidP="00086EE7">
      <w:pPr>
        <w:numPr>
          <w:ilvl w:val="0"/>
          <w:numId w:val="7"/>
        </w:numPr>
        <w:spacing w:before="120" w:after="120"/>
        <w:jc w:val="both"/>
        <w:rPr>
          <w:rFonts w:ascii="Arial" w:hAnsi="Arial" w:cs="Arial"/>
          <w:sz w:val="22"/>
        </w:rPr>
      </w:pPr>
      <w:r>
        <w:rPr>
          <w:rFonts w:ascii="Arial" w:hAnsi="Arial" w:cs="Arial"/>
          <w:sz w:val="22"/>
        </w:rPr>
        <w:t xml:space="preserve">being subject to </w:t>
      </w:r>
      <w:r w:rsidR="003E6235">
        <w:rPr>
          <w:rFonts w:ascii="Arial" w:hAnsi="Arial" w:cs="Arial"/>
          <w:sz w:val="22"/>
        </w:rPr>
        <w:t>an adverse finding by ICAC or similar body in another jurisdiction</w:t>
      </w:r>
    </w:p>
    <w:p w14:paraId="25E6F823" w14:textId="77777777" w:rsidR="00B726DB" w:rsidRDefault="00B726DB" w:rsidP="00086EE7">
      <w:pPr>
        <w:numPr>
          <w:ilvl w:val="0"/>
          <w:numId w:val="7"/>
        </w:numPr>
        <w:spacing w:before="120" w:after="120"/>
        <w:jc w:val="both"/>
        <w:rPr>
          <w:rFonts w:ascii="Arial" w:hAnsi="Arial" w:cs="Arial"/>
          <w:sz w:val="22"/>
        </w:rPr>
      </w:pPr>
      <w:r>
        <w:rPr>
          <w:rFonts w:ascii="Arial" w:hAnsi="Arial" w:cs="Arial"/>
          <w:sz w:val="22"/>
        </w:rPr>
        <w:t xml:space="preserve">Breaching the </w:t>
      </w:r>
      <w:r>
        <w:rPr>
          <w:rFonts w:ascii="Arial" w:hAnsi="Arial" w:cs="Arial"/>
          <w:i/>
          <w:sz w:val="22"/>
        </w:rPr>
        <w:t xml:space="preserve">Building and Construction Industry Security of Payment Act 1999 </w:t>
      </w:r>
      <w:r>
        <w:rPr>
          <w:rFonts w:ascii="Arial" w:hAnsi="Arial" w:cs="Arial"/>
          <w:iCs/>
          <w:sz w:val="22"/>
        </w:rPr>
        <w:t>(NSW)</w:t>
      </w:r>
      <w:r>
        <w:rPr>
          <w:rFonts w:ascii="Arial" w:hAnsi="Arial" w:cs="Arial"/>
          <w:sz w:val="22"/>
        </w:rPr>
        <w:t>, or failed to act appropriately in response to an adjudicator’s determination</w:t>
      </w:r>
    </w:p>
    <w:p w14:paraId="28CA1C40" w14:textId="77777777" w:rsidR="00B726DB" w:rsidRDefault="00B726DB" w:rsidP="005963BF">
      <w:pPr>
        <w:pStyle w:val="Clausenumber"/>
        <w:numPr>
          <w:ilvl w:val="0"/>
          <w:numId w:val="0"/>
        </w:numPr>
      </w:pPr>
      <w:r>
        <w:t>Contractors may also be removed from the Scheme due to convictions for breaches of WHS laws, concerns about WHS arising from serious accidents/incidents on contracted projects or due to a pattern of unsatisfactory results of WHS Management System audits, Quality Management System audits or Environmental Management System audits conducted for or on behalf of any NSW Government agency.</w:t>
      </w:r>
    </w:p>
    <w:p w14:paraId="6CAA8C4D" w14:textId="77777777" w:rsidR="00491DFB" w:rsidRDefault="00491DFB" w:rsidP="005963BF">
      <w:pPr>
        <w:pStyle w:val="Clausenumber"/>
        <w:numPr>
          <w:ilvl w:val="0"/>
          <w:numId w:val="0"/>
        </w:numPr>
        <w:ind w:left="360"/>
      </w:pPr>
    </w:p>
    <w:p w14:paraId="65D569FF" w14:textId="77777777" w:rsidR="00C23745" w:rsidRPr="003B093A" w:rsidRDefault="00C23745" w:rsidP="005963BF">
      <w:pPr>
        <w:pStyle w:val="Clausenumber"/>
        <w:numPr>
          <w:ilvl w:val="0"/>
          <w:numId w:val="0"/>
        </w:numPr>
      </w:pPr>
      <w:r w:rsidRPr="003B093A">
        <w:t>Before a contractor</w:t>
      </w:r>
      <w:r w:rsidR="00E75755">
        <w:t xml:space="preserve"> is removed from the Scheme</w:t>
      </w:r>
      <w:r w:rsidR="00BC58FF" w:rsidRPr="003B093A">
        <w:t>,</w:t>
      </w:r>
      <w:r w:rsidRPr="003B093A">
        <w:t xml:space="preserve"> </w:t>
      </w:r>
      <w:r w:rsidR="0085716F">
        <w:t>DFSI</w:t>
      </w:r>
      <w:r w:rsidR="003E6235" w:rsidRPr="003B093A">
        <w:t xml:space="preserve"> </w:t>
      </w:r>
      <w:r w:rsidRPr="003B093A">
        <w:t xml:space="preserve">will advise the contractor of the </w:t>
      </w:r>
      <w:r w:rsidR="00E75755">
        <w:t xml:space="preserve">reasons for the removal </w:t>
      </w:r>
      <w:r w:rsidRPr="003B093A">
        <w:t xml:space="preserve">and give the contractor </w:t>
      </w:r>
      <w:r w:rsidR="00E75755">
        <w:t xml:space="preserve">up to seven days </w:t>
      </w:r>
      <w:r w:rsidRPr="003B093A">
        <w:t xml:space="preserve">to give reasons why </w:t>
      </w:r>
      <w:r w:rsidR="00917F7D">
        <w:t xml:space="preserve">prequalification </w:t>
      </w:r>
      <w:r w:rsidRPr="003B093A">
        <w:t>should not be rev</w:t>
      </w:r>
      <w:r w:rsidR="00BC58FF" w:rsidRPr="003B093A">
        <w:t>ok</w:t>
      </w:r>
      <w:r w:rsidRPr="003B093A">
        <w:t>ed.</w:t>
      </w:r>
    </w:p>
    <w:p w14:paraId="47503793" w14:textId="77777777" w:rsidR="00C23745" w:rsidRDefault="00C23745" w:rsidP="005963BF">
      <w:pPr>
        <w:jc w:val="both"/>
        <w:rPr>
          <w:rFonts w:ascii="Arial" w:hAnsi="Arial" w:cs="Arial"/>
          <w:sz w:val="22"/>
        </w:rPr>
      </w:pPr>
      <w:bookmarkStart w:id="32" w:name="_Toc49847037"/>
    </w:p>
    <w:p w14:paraId="6B70D75E" w14:textId="77777777" w:rsidR="00632FD0" w:rsidRDefault="00632FD0" w:rsidP="005963BF">
      <w:pPr>
        <w:pStyle w:val="ClauseHeading"/>
        <w:jc w:val="both"/>
      </w:pPr>
      <w:bookmarkStart w:id="33" w:name="_Toc49847035"/>
      <w:bookmarkStart w:id="34" w:name="_Toc79838017"/>
      <w:bookmarkStart w:id="35" w:name="_Toc110911991"/>
      <w:bookmarkStart w:id="36" w:name="_Toc169682154"/>
      <w:bookmarkStart w:id="37" w:name="_Toc174952017"/>
      <w:bookmarkStart w:id="38" w:name="_Toc174952123"/>
      <w:bookmarkStart w:id="39" w:name="_Toc273633644"/>
      <w:bookmarkEnd w:id="32"/>
      <w:r>
        <w:t>Reviews</w:t>
      </w:r>
    </w:p>
    <w:p w14:paraId="6303309A" w14:textId="77777777" w:rsidR="00632FD0" w:rsidRDefault="00E75755" w:rsidP="005963BF">
      <w:pPr>
        <w:pStyle w:val="Clausenumber"/>
        <w:numPr>
          <w:ilvl w:val="0"/>
          <w:numId w:val="0"/>
        </w:numPr>
      </w:pPr>
      <w:r>
        <w:t>A</w:t>
      </w:r>
      <w:r w:rsidR="00E809C3">
        <w:t xml:space="preserve">n Applicant or Contractor </w:t>
      </w:r>
      <w:r>
        <w:t xml:space="preserve">who </w:t>
      </w:r>
      <w:r w:rsidR="007C5DAB">
        <w:t>believe</w:t>
      </w:r>
      <w:r w:rsidR="00E809C3">
        <w:t xml:space="preserve">s that there are grounds for </w:t>
      </w:r>
      <w:r w:rsidR="0085716F">
        <w:t>DFSI</w:t>
      </w:r>
      <w:r w:rsidR="00E809C3">
        <w:t xml:space="preserve"> to reconsider a decision made relating to </w:t>
      </w:r>
      <w:r w:rsidR="00632FD0" w:rsidRPr="00224F73">
        <w:t xml:space="preserve">its </w:t>
      </w:r>
      <w:r w:rsidR="00CD109B">
        <w:t>application</w:t>
      </w:r>
      <w:r w:rsidR="004924E4">
        <w:t xml:space="preserve"> or status</w:t>
      </w:r>
      <w:r>
        <w:t xml:space="preserve"> (including suspension or removal)</w:t>
      </w:r>
      <w:r w:rsidR="00632FD0" w:rsidRPr="00224F73">
        <w:t xml:space="preserve">, may request a </w:t>
      </w:r>
      <w:r w:rsidR="00632FD0">
        <w:t xml:space="preserve">formal </w:t>
      </w:r>
      <w:r w:rsidR="00632FD0" w:rsidRPr="00224F73">
        <w:t>review of the decision.</w:t>
      </w:r>
    </w:p>
    <w:p w14:paraId="0C6C5CBD" w14:textId="77777777" w:rsidR="00632FD0" w:rsidRPr="00224F73" w:rsidRDefault="00632FD0" w:rsidP="005963BF">
      <w:pPr>
        <w:pStyle w:val="BodyText"/>
        <w:rPr>
          <w:rFonts w:ascii="Arial" w:hAnsi="Arial" w:cs="Arial"/>
        </w:rPr>
      </w:pPr>
    </w:p>
    <w:p w14:paraId="342E7B81" w14:textId="77777777" w:rsidR="00632FD0" w:rsidRDefault="00632FD0" w:rsidP="005963BF">
      <w:pPr>
        <w:pStyle w:val="Clausenumber"/>
        <w:numPr>
          <w:ilvl w:val="0"/>
          <w:numId w:val="0"/>
        </w:numPr>
      </w:pPr>
      <w:r w:rsidRPr="00224F73">
        <w:t xml:space="preserve">The request for a review must be </w:t>
      </w:r>
      <w:r w:rsidR="00E75755">
        <w:t xml:space="preserve">made </w:t>
      </w:r>
      <w:r w:rsidRPr="00224F73">
        <w:t xml:space="preserve">in writing within 20 business days of the date of </w:t>
      </w:r>
      <w:r>
        <w:t xml:space="preserve">receipt of </w:t>
      </w:r>
      <w:r w:rsidRPr="00224F73">
        <w:t xml:space="preserve">the </w:t>
      </w:r>
      <w:r>
        <w:t xml:space="preserve">notice </w:t>
      </w:r>
      <w:r w:rsidRPr="00224F73">
        <w:t xml:space="preserve">advising of the original decision. The request for </w:t>
      </w:r>
      <w:r>
        <w:t xml:space="preserve">a </w:t>
      </w:r>
      <w:r w:rsidRPr="00224F73">
        <w:t xml:space="preserve">review must provide full details of the reasons for the request and any additional information upon which the </w:t>
      </w:r>
      <w:r w:rsidR="00E809C3">
        <w:t xml:space="preserve">Applicant and/or </w:t>
      </w:r>
      <w:r w:rsidRPr="00224F73">
        <w:t>Contractor wishes to rely.</w:t>
      </w:r>
    </w:p>
    <w:p w14:paraId="7644CA38" w14:textId="77777777" w:rsidR="00632FD0" w:rsidRDefault="00632FD0" w:rsidP="005963BF">
      <w:pPr>
        <w:pStyle w:val="BodyText"/>
        <w:rPr>
          <w:rFonts w:ascii="Arial" w:hAnsi="Arial" w:cs="Arial"/>
        </w:rPr>
      </w:pPr>
    </w:p>
    <w:p w14:paraId="480EB5B0" w14:textId="77777777" w:rsidR="00E75755" w:rsidRDefault="00E75755" w:rsidP="005963BF">
      <w:pPr>
        <w:pStyle w:val="Clausenumber"/>
        <w:numPr>
          <w:ilvl w:val="0"/>
          <w:numId w:val="0"/>
        </w:numPr>
      </w:pPr>
      <w:r w:rsidRPr="005D18E2">
        <w:t xml:space="preserve">The </w:t>
      </w:r>
      <w:r w:rsidR="005963BF">
        <w:t xml:space="preserve">review </w:t>
      </w:r>
      <w:r w:rsidRPr="005D18E2">
        <w:t>will be</w:t>
      </w:r>
      <w:r>
        <w:t xml:space="preserve"> considered</w:t>
      </w:r>
      <w:r w:rsidRPr="005D18E2">
        <w:t xml:space="preserve"> by a senior </w:t>
      </w:r>
      <w:r w:rsidR="0085716F">
        <w:t>DFSI</w:t>
      </w:r>
      <w:r>
        <w:t xml:space="preserve"> staff</w:t>
      </w:r>
      <w:r w:rsidR="005963BF">
        <w:t xml:space="preserve"> member appointed by the Chief Executive Officer of </w:t>
      </w:r>
      <w:r w:rsidR="0085716F">
        <w:t>DFSI</w:t>
      </w:r>
      <w:r>
        <w:t xml:space="preserve">. </w:t>
      </w:r>
      <w:r w:rsidRPr="005D18E2">
        <w:t>Any person (or subordinate of that person) involved in the making of the original decision</w:t>
      </w:r>
      <w:r w:rsidR="005963BF">
        <w:t xml:space="preserve">, or </w:t>
      </w:r>
      <w:r w:rsidRPr="005D18E2">
        <w:t xml:space="preserve">involved in the investigation of the breach of the </w:t>
      </w:r>
      <w:r>
        <w:t>Scheme</w:t>
      </w:r>
      <w:r w:rsidRPr="005D18E2">
        <w:t xml:space="preserve"> or performance issue that gave rise to the original decision </w:t>
      </w:r>
      <w:r>
        <w:t>cannot</w:t>
      </w:r>
      <w:r w:rsidRPr="005D18E2">
        <w:t xml:space="preserve"> participat</w:t>
      </w:r>
      <w:r>
        <w:t>e</w:t>
      </w:r>
      <w:r w:rsidR="005963BF">
        <w:t xml:space="preserve"> in the review</w:t>
      </w:r>
      <w:r w:rsidRPr="005D18E2">
        <w:t>.</w:t>
      </w:r>
    </w:p>
    <w:p w14:paraId="775CF7C7" w14:textId="77777777" w:rsidR="00E75755" w:rsidRDefault="00E75755" w:rsidP="005963BF">
      <w:pPr>
        <w:pStyle w:val="BodyText"/>
        <w:rPr>
          <w:rFonts w:ascii="Arial" w:hAnsi="Arial" w:cs="Arial"/>
        </w:rPr>
      </w:pPr>
    </w:p>
    <w:p w14:paraId="449A7B23" w14:textId="77777777" w:rsidR="00632FD0" w:rsidRDefault="00632FD0" w:rsidP="005963BF">
      <w:pPr>
        <w:pStyle w:val="Clausenumber"/>
        <w:numPr>
          <w:ilvl w:val="0"/>
          <w:numId w:val="0"/>
        </w:numPr>
      </w:pPr>
      <w:r w:rsidRPr="00224F73">
        <w:t xml:space="preserve">The </w:t>
      </w:r>
      <w:r w:rsidR="00491DFB">
        <w:t xml:space="preserve">Applicant and/or </w:t>
      </w:r>
      <w:r w:rsidRPr="00224F73">
        <w:t xml:space="preserve">Contractor will be informed in writing of the outcome of the review, within 20 business days of </w:t>
      </w:r>
      <w:r w:rsidR="0085716F">
        <w:t>DFSI</w:t>
      </w:r>
      <w:r w:rsidR="00E75755">
        <w:t xml:space="preserve"> receiving </w:t>
      </w:r>
      <w:r w:rsidRPr="00224F73">
        <w:t>the request.</w:t>
      </w:r>
    </w:p>
    <w:p w14:paraId="7572D2A4" w14:textId="77777777" w:rsidR="00E75755" w:rsidRDefault="00E75755" w:rsidP="005963BF">
      <w:pPr>
        <w:pStyle w:val="Clausenumber"/>
        <w:numPr>
          <w:ilvl w:val="0"/>
          <w:numId w:val="0"/>
        </w:numPr>
      </w:pPr>
    </w:p>
    <w:p w14:paraId="5107D11E" w14:textId="77777777" w:rsidR="00C23745" w:rsidRDefault="00C23745" w:rsidP="005963BF">
      <w:pPr>
        <w:pStyle w:val="ClauseHeading"/>
        <w:jc w:val="both"/>
      </w:pPr>
      <w:bookmarkStart w:id="40" w:name="_Toc49847038"/>
      <w:bookmarkStart w:id="41" w:name="_Toc79838018"/>
      <w:bookmarkStart w:id="42" w:name="_Toc110911992"/>
      <w:bookmarkStart w:id="43" w:name="_Toc169682155"/>
      <w:bookmarkStart w:id="44" w:name="_Toc174952018"/>
      <w:bookmarkStart w:id="45" w:name="_Toc174952124"/>
      <w:bookmarkStart w:id="46" w:name="_Toc273633645"/>
      <w:bookmarkEnd w:id="33"/>
      <w:bookmarkEnd w:id="34"/>
      <w:bookmarkEnd w:id="35"/>
      <w:bookmarkEnd w:id="36"/>
      <w:bookmarkEnd w:id="37"/>
      <w:bookmarkEnd w:id="38"/>
      <w:bookmarkEnd w:id="39"/>
      <w:r>
        <w:lastRenderedPageBreak/>
        <w:t>Applicant's Acknowledg</w:t>
      </w:r>
      <w:r w:rsidR="00FA6C0F">
        <w:t>e</w:t>
      </w:r>
      <w:r>
        <w:t>ment</w:t>
      </w:r>
      <w:bookmarkEnd w:id="40"/>
      <w:bookmarkEnd w:id="41"/>
      <w:bookmarkEnd w:id="42"/>
      <w:bookmarkEnd w:id="43"/>
      <w:bookmarkEnd w:id="44"/>
      <w:bookmarkEnd w:id="45"/>
      <w:bookmarkEnd w:id="46"/>
    </w:p>
    <w:p w14:paraId="33EE4956" w14:textId="77777777" w:rsidR="00C23745" w:rsidRDefault="00C23745" w:rsidP="005963BF">
      <w:pPr>
        <w:pStyle w:val="Clausenonumber"/>
        <w:ind w:left="0"/>
      </w:pPr>
      <w:r>
        <w:t>In</w:t>
      </w:r>
      <w:r w:rsidR="00917F7D">
        <w:t xml:space="preserve"> </w:t>
      </w:r>
      <w:proofErr w:type="gramStart"/>
      <w:r w:rsidR="00917F7D">
        <w:t>submitting an Application</w:t>
      </w:r>
      <w:proofErr w:type="gramEnd"/>
      <w:r w:rsidR="00917F7D">
        <w:t>,</w:t>
      </w:r>
      <w:r>
        <w:t xml:space="preserve"> the </w:t>
      </w:r>
      <w:r w:rsidR="0034077B">
        <w:t xml:space="preserve">Applicant </w:t>
      </w:r>
      <w:r>
        <w:t xml:space="preserve">agrees </w:t>
      </w:r>
      <w:r w:rsidR="00917F7D">
        <w:t>to</w:t>
      </w:r>
      <w:r>
        <w:t xml:space="preserve"> accept </w:t>
      </w:r>
      <w:r w:rsidR="004C2973">
        <w:t>all</w:t>
      </w:r>
      <w:r>
        <w:t xml:space="preserve"> Scheme conditions.</w:t>
      </w:r>
    </w:p>
    <w:p w14:paraId="57802F20" w14:textId="77777777" w:rsidR="00C23745" w:rsidRDefault="00C23745" w:rsidP="005963BF">
      <w:pPr>
        <w:pStyle w:val="BodyTextIndent3"/>
        <w:ind w:left="0"/>
        <w:jc w:val="both"/>
      </w:pPr>
    </w:p>
    <w:p w14:paraId="6B9CB205" w14:textId="77777777" w:rsidR="005963BF" w:rsidRPr="003B093A" w:rsidRDefault="005963BF" w:rsidP="005963BF">
      <w:pPr>
        <w:pStyle w:val="ClauseHeading"/>
        <w:jc w:val="both"/>
        <w:rPr>
          <w:szCs w:val="22"/>
        </w:rPr>
      </w:pPr>
      <w:r w:rsidRPr="003B093A">
        <w:t>Disclosure</w:t>
      </w:r>
    </w:p>
    <w:p w14:paraId="75664A05" w14:textId="77777777" w:rsidR="005963BF" w:rsidRDefault="005963BF" w:rsidP="005963BF">
      <w:pPr>
        <w:pStyle w:val="Clausenonumber"/>
        <w:ind w:left="0"/>
      </w:pPr>
      <w:r>
        <w:t xml:space="preserve">In </w:t>
      </w:r>
      <w:proofErr w:type="gramStart"/>
      <w:r>
        <w:t>submitting an Application</w:t>
      </w:r>
      <w:proofErr w:type="gramEnd"/>
      <w:r>
        <w:t>, the Applicant agrees to permit the NSW Government to:</w:t>
      </w:r>
    </w:p>
    <w:p w14:paraId="7032AAB5" w14:textId="77777777" w:rsidR="005963BF" w:rsidRPr="00520561" w:rsidRDefault="005963BF" w:rsidP="00086EE7">
      <w:pPr>
        <w:numPr>
          <w:ilvl w:val="0"/>
          <w:numId w:val="12"/>
        </w:numPr>
        <w:rPr>
          <w:rFonts w:ascii="Arial" w:hAnsi="Arial" w:cs="Arial"/>
          <w:sz w:val="22"/>
          <w:szCs w:val="22"/>
        </w:rPr>
      </w:pPr>
      <w:r w:rsidRPr="00520561">
        <w:rPr>
          <w:rFonts w:ascii="Arial" w:hAnsi="Arial" w:cs="Arial"/>
          <w:sz w:val="22"/>
          <w:szCs w:val="22"/>
        </w:rPr>
        <w:t>publish information about the Application and the Applicant</w:t>
      </w:r>
    </w:p>
    <w:p w14:paraId="62CBDC8F" w14:textId="77777777" w:rsidR="005963BF" w:rsidRPr="00520561" w:rsidRDefault="005963BF" w:rsidP="00086EE7">
      <w:pPr>
        <w:numPr>
          <w:ilvl w:val="0"/>
          <w:numId w:val="12"/>
        </w:numPr>
        <w:rPr>
          <w:rFonts w:ascii="Arial" w:hAnsi="Arial" w:cs="Arial"/>
          <w:sz w:val="22"/>
          <w:szCs w:val="22"/>
        </w:rPr>
      </w:pPr>
      <w:r w:rsidRPr="00520561">
        <w:rPr>
          <w:rFonts w:ascii="Arial" w:hAnsi="Arial" w:cs="Arial"/>
          <w:sz w:val="22"/>
          <w:szCs w:val="22"/>
        </w:rPr>
        <w:t>publish information about contracts awarded to the Applicant</w:t>
      </w:r>
    </w:p>
    <w:p w14:paraId="41D94F10" w14:textId="77777777" w:rsidR="005963BF" w:rsidRPr="00520561" w:rsidRDefault="005963BF" w:rsidP="00086EE7">
      <w:pPr>
        <w:numPr>
          <w:ilvl w:val="0"/>
          <w:numId w:val="12"/>
        </w:numPr>
        <w:rPr>
          <w:rFonts w:ascii="Arial" w:hAnsi="Arial" w:cs="Arial"/>
          <w:sz w:val="22"/>
          <w:szCs w:val="22"/>
        </w:rPr>
      </w:pPr>
      <w:r w:rsidRPr="00520561">
        <w:rPr>
          <w:rFonts w:ascii="Arial" w:hAnsi="Arial" w:cs="Arial"/>
          <w:sz w:val="22"/>
          <w:szCs w:val="22"/>
        </w:rPr>
        <w:t xml:space="preserve">disclose certain information in accordance with Division 5 of the </w:t>
      </w:r>
      <w:r w:rsidRPr="00520561">
        <w:rPr>
          <w:rFonts w:ascii="Arial" w:hAnsi="Arial" w:cs="Arial"/>
          <w:i/>
          <w:sz w:val="22"/>
          <w:szCs w:val="22"/>
        </w:rPr>
        <w:t xml:space="preserve">Government Information (Public Access) Act 2009 </w:t>
      </w:r>
      <w:r w:rsidRPr="00520561">
        <w:rPr>
          <w:rFonts w:ascii="Arial" w:hAnsi="Arial" w:cs="Arial"/>
          <w:sz w:val="22"/>
          <w:szCs w:val="22"/>
        </w:rPr>
        <w:t>and Premier’s Memorandum 2007-01.</w:t>
      </w:r>
    </w:p>
    <w:p w14:paraId="48BAEEFB" w14:textId="77777777" w:rsidR="005963BF" w:rsidRDefault="005963BF" w:rsidP="005963BF">
      <w:pPr>
        <w:pStyle w:val="Clausenonumber"/>
        <w:ind w:left="0"/>
      </w:pPr>
    </w:p>
    <w:p w14:paraId="466EE8AD" w14:textId="77777777" w:rsidR="00C23745" w:rsidRDefault="00C23745" w:rsidP="005963BF">
      <w:pPr>
        <w:pStyle w:val="ClauseHeading"/>
        <w:jc w:val="both"/>
      </w:pPr>
      <w:bookmarkStart w:id="47" w:name="_Toc79838019"/>
      <w:bookmarkStart w:id="48" w:name="_Toc110911993"/>
      <w:bookmarkStart w:id="49" w:name="_Toc169682156"/>
      <w:bookmarkStart w:id="50" w:name="_Toc174952019"/>
      <w:bookmarkStart w:id="51" w:name="_Toc174952125"/>
      <w:bookmarkStart w:id="52" w:name="_Toc273633646"/>
      <w:r>
        <w:t>Disclaimer</w:t>
      </w:r>
      <w:bookmarkEnd w:id="47"/>
      <w:bookmarkEnd w:id="48"/>
      <w:bookmarkEnd w:id="49"/>
      <w:bookmarkEnd w:id="50"/>
      <w:bookmarkEnd w:id="51"/>
      <w:bookmarkEnd w:id="52"/>
    </w:p>
    <w:p w14:paraId="27E1185B" w14:textId="603A5C8D" w:rsidR="00C23745" w:rsidRDefault="0085716F" w:rsidP="005963BF">
      <w:pPr>
        <w:pStyle w:val="Clausenumber"/>
        <w:numPr>
          <w:ilvl w:val="0"/>
          <w:numId w:val="0"/>
        </w:numPr>
      </w:pPr>
      <w:r>
        <w:t>DFSI</w:t>
      </w:r>
      <w:r w:rsidR="0034077B">
        <w:t xml:space="preserve"> </w:t>
      </w:r>
      <w:r w:rsidR="00C23745">
        <w:t>reserves the absolute discretion to</w:t>
      </w:r>
      <w:r w:rsidR="008360E9">
        <w:t xml:space="preserve"> </w:t>
      </w:r>
      <w:r w:rsidR="00DA597A">
        <w:t xml:space="preserve">accept a </w:t>
      </w:r>
      <w:r w:rsidR="007310DC">
        <w:t>p</w:t>
      </w:r>
      <w:r w:rsidR="00C23745">
        <w:t>requalification application with or without conditions</w:t>
      </w:r>
      <w:r w:rsidR="004C2973">
        <w:t>,</w:t>
      </w:r>
      <w:r w:rsidR="00C23745">
        <w:t xml:space="preserve"> reject a </w:t>
      </w:r>
      <w:r w:rsidR="007310DC">
        <w:t>p</w:t>
      </w:r>
      <w:r w:rsidR="00C23745">
        <w:t>requalification application or suspend</w:t>
      </w:r>
      <w:r w:rsidR="004924E4">
        <w:t>, downgrade or revoke</w:t>
      </w:r>
      <w:r w:rsidR="00C23745">
        <w:t xml:space="preserve"> a contractor’s </w:t>
      </w:r>
      <w:r w:rsidR="007310DC">
        <w:t>p</w:t>
      </w:r>
      <w:r w:rsidR="00C23745">
        <w:t>requalification</w:t>
      </w:r>
      <w:r w:rsidR="004924E4">
        <w:t xml:space="preserve"> status</w:t>
      </w:r>
      <w:r w:rsidR="008360E9">
        <w:t xml:space="preserve">. </w:t>
      </w:r>
      <w:r w:rsidR="00C23745">
        <w:t xml:space="preserve">In the exercise of such discretion, </w:t>
      </w:r>
      <w:r>
        <w:t>DFSI</w:t>
      </w:r>
      <w:r w:rsidR="0034077B">
        <w:t xml:space="preserve"> </w:t>
      </w:r>
      <w:r w:rsidR="00C23745">
        <w:t xml:space="preserve">will not be liable for any costs or damages incurred by the </w:t>
      </w:r>
      <w:r w:rsidR="005963BF">
        <w:t xml:space="preserve">Applicant or the </w:t>
      </w:r>
      <w:r w:rsidR="00C23745">
        <w:t>contractor.</w:t>
      </w:r>
    </w:p>
    <w:p w14:paraId="017016EE" w14:textId="77777777" w:rsidR="00584AFB" w:rsidRDefault="00584AFB" w:rsidP="005963BF">
      <w:pPr>
        <w:pStyle w:val="tablebody"/>
        <w:spacing w:before="0" w:after="0"/>
        <w:jc w:val="both"/>
        <w:rPr>
          <w:rFonts w:cs="Arial"/>
        </w:rPr>
      </w:pPr>
    </w:p>
    <w:p w14:paraId="442C60F5" w14:textId="77777777" w:rsidR="00584AFB" w:rsidRDefault="00584AFB" w:rsidP="005963BF">
      <w:pPr>
        <w:pStyle w:val="ClauseHeading"/>
        <w:jc w:val="both"/>
      </w:pPr>
      <w:bookmarkStart w:id="53" w:name="_Toc79837990"/>
      <w:bookmarkStart w:id="54" w:name="_Toc110911957"/>
      <w:bookmarkStart w:id="55" w:name="_Toc169682107"/>
      <w:bookmarkStart w:id="56" w:name="_Toc174951975"/>
      <w:bookmarkStart w:id="57" w:name="_Toc174952081"/>
      <w:bookmarkStart w:id="58" w:name="_Toc273633597"/>
      <w:r>
        <w:t>No Guarantee of Work</w:t>
      </w:r>
      <w:bookmarkEnd w:id="53"/>
      <w:bookmarkEnd w:id="54"/>
      <w:bookmarkEnd w:id="55"/>
      <w:bookmarkEnd w:id="56"/>
      <w:bookmarkEnd w:id="57"/>
      <w:bookmarkEnd w:id="58"/>
    </w:p>
    <w:p w14:paraId="75906F31" w14:textId="77777777" w:rsidR="00584AFB" w:rsidRDefault="00EC4087" w:rsidP="005963BF">
      <w:pPr>
        <w:pStyle w:val="Clausenonumber"/>
        <w:ind w:left="0"/>
      </w:pPr>
      <w:r>
        <w:t>P</w:t>
      </w:r>
      <w:r w:rsidR="00584AFB">
        <w:t>requalif</w:t>
      </w:r>
      <w:r w:rsidR="007310DC">
        <w:t>i</w:t>
      </w:r>
      <w:r w:rsidR="005963BF">
        <w:t xml:space="preserve">cation under this Scheme </w:t>
      </w:r>
      <w:r w:rsidR="00584AFB">
        <w:t>does not guarantee</w:t>
      </w:r>
      <w:r w:rsidR="007310DC">
        <w:t xml:space="preserve"> a contractor</w:t>
      </w:r>
      <w:r w:rsidR="00584AFB">
        <w:t>:</w:t>
      </w:r>
    </w:p>
    <w:p w14:paraId="4106AE73" w14:textId="77777777" w:rsidR="00584AFB" w:rsidRDefault="00584AFB" w:rsidP="00086EE7">
      <w:pPr>
        <w:pStyle w:val="BodyText3"/>
        <w:numPr>
          <w:ilvl w:val="0"/>
          <w:numId w:val="13"/>
        </w:numPr>
        <w:spacing w:before="60" w:after="60"/>
        <w:jc w:val="both"/>
        <w:rPr>
          <w:rFonts w:ascii="Arial" w:hAnsi="Arial"/>
        </w:rPr>
      </w:pPr>
      <w:r>
        <w:rPr>
          <w:rFonts w:ascii="Arial" w:hAnsi="Arial"/>
        </w:rPr>
        <w:t xml:space="preserve">continuity of the </w:t>
      </w:r>
      <w:r w:rsidR="007310DC">
        <w:rPr>
          <w:rFonts w:ascii="Arial" w:hAnsi="Arial"/>
        </w:rPr>
        <w:t>p</w:t>
      </w:r>
      <w:r>
        <w:rPr>
          <w:rFonts w:ascii="Arial" w:hAnsi="Arial"/>
        </w:rPr>
        <w:t>requalific</w:t>
      </w:r>
      <w:r w:rsidR="005963BF">
        <w:rPr>
          <w:rFonts w:ascii="Arial" w:hAnsi="Arial"/>
        </w:rPr>
        <w:t>ation over the duration of the S</w:t>
      </w:r>
      <w:r>
        <w:rPr>
          <w:rFonts w:ascii="Arial" w:hAnsi="Arial"/>
        </w:rPr>
        <w:t xml:space="preserve">cheme </w:t>
      </w:r>
    </w:p>
    <w:p w14:paraId="385F5129" w14:textId="77777777" w:rsidR="00584AFB" w:rsidRDefault="00584AFB" w:rsidP="00086EE7">
      <w:pPr>
        <w:pStyle w:val="BodyText3"/>
        <w:numPr>
          <w:ilvl w:val="0"/>
          <w:numId w:val="13"/>
        </w:numPr>
        <w:spacing w:before="60" w:after="60"/>
        <w:jc w:val="both"/>
        <w:rPr>
          <w:rFonts w:ascii="Arial" w:hAnsi="Arial"/>
        </w:rPr>
      </w:pPr>
      <w:r>
        <w:rPr>
          <w:rFonts w:ascii="Arial" w:hAnsi="Arial"/>
        </w:rPr>
        <w:t>receipt of opportunities to tender</w:t>
      </w:r>
      <w:r w:rsidR="00520561">
        <w:rPr>
          <w:rFonts w:ascii="Arial" w:hAnsi="Arial"/>
        </w:rPr>
        <w:t>,</w:t>
      </w:r>
      <w:r>
        <w:rPr>
          <w:rFonts w:ascii="Arial" w:hAnsi="Arial"/>
        </w:rPr>
        <w:t xml:space="preserve"> or</w:t>
      </w:r>
    </w:p>
    <w:p w14:paraId="3BB97480" w14:textId="77777777" w:rsidR="00584AFB" w:rsidRDefault="00584AFB" w:rsidP="00086EE7">
      <w:pPr>
        <w:pStyle w:val="BodyText3"/>
        <w:numPr>
          <w:ilvl w:val="0"/>
          <w:numId w:val="13"/>
        </w:numPr>
        <w:spacing w:before="60" w:after="60"/>
        <w:jc w:val="both"/>
        <w:rPr>
          <w:rFonts w:ascii="Arial" w:hAnsi="Arial"/>
        </w:rPr>
      </w:pPr>
      <w:r>
        <w:rPr>
          <w:rFonts w:ascii="Arial" w:hAnsi="Arial"/>
        </w:rPr>
        <w:t>that engagements or work of any kind or quantity will be offered</w:t>
      </w:r>
      <w:r w:rsidR="00E75755">
        <w:rPr>
          <w:rFonts w:ascii="Arial" w:hAnsi="Arial"/>
        </w:rPr>
        <w:t>.</w:t>
      </w:r>
      <w:r>
        <w:rPr>
          <w:rFonts w:ascii="Arial" w:hAnsi="Arial"/>
        </w:rPr>
        <w:t xml:space="preserve"> </w:t>
      </w:r>
    </w:p>
    <w:p w14:paraId="54B72DD6" w14:textId="77777777" w:rsidR="00584AFB" w:rsidRDefault="00584AFB" w:rsidP="005963BF">
      <w:pPr>
        <w:jc w:val="both"/>
        <w:rPr>
          <w:rFonts w:ascii="Arial" w:hAnsi="Arial" w:cs="Arial"/>
          <w:sz w:val="22"/>
        </w:rPr>
      </w:pPr>
    </w:p>
    <w:p w14:paraId="126654B2" w14:textId="77777777" w:rsidR="00584AFB" w:rsidRDefault="00584AFB" w:rsidP="005963BF">
      <w:pPr>
        <w:pStyle w:val="ClauseHeading"/>
        <w:jc w:val="both"/>
      </w:pPr>
      <w:bookmarkStart w:id="59" w:name="_Toc79837991"/>
      <w:bookmarkStart w:id="60" w:name="_Toc110911958"/>
      <w:bookmarkStart w:id="61" w:name="_Toc169682108"/>
      <w:bookmarkStart w:id="62" w:name="_Toc174951976"/>
      <w:bookmarkStart w:id="63" w:name="_Toc174952082"/>
      <w:bookmarkStart w:id="64" w:name="_Toc273633598"/>
      <w:r>
        <w:t>Review and Development of the Scheme</w:t>
      </w:r>
      <w:bookmarkEnd w:id="59"/>
      <w:bookmarkEnd w:id="60"/>
      <w:bookmarkEnd w:id="61"/>
      <w:bookmarkEnd w:id="62"/>
      <w:bookmarkEnd w:id="63"/>
      <w:bookmarkEnd w:id="64"/>
    </w:p>
    <w:p w14:paraId="7ACBDDFE" w14:textId="77777777" w:rsidR="005963BF" w:rsidRDefault="00584AFB" w:rsidP="008360E9">
      <w:pPr>
        <w:pStyle w:val="Clausenumber"/>
        <w:numPr>
          <w:ilvl w:val="0"/>
          <w:numId w:val="0"/>
        </w:numPr>
      </w:pPr>
      <w:r>
        <w:t xml:space="preserve">The Scheme will be monitored by </w:t>
      </w:r>
      <w:r w:rsidR="00E75755">
        <w:t xml:space="preserve">the NSW Procurement Board </w:t>
      </w:r>
      <w:r>
        <w:t xml:space="preserve">to assess whether the objectives and intent of the Scheme are being met. </w:t>
      </w:r>
      <w:r w:rsidR="00E75755">
        <w:t xml:space="preserve"> </w:t>
      </w:r>
      <w:r>
        <w:t xml:space="preserve">Modifications to the Scheme, including work categories, contract value ranges and/or contract systems, may be made at the discretion of </w:t>
      </w:r>
      <w:r w:rsidR="00E75755">
        <w:t xml:space="preserve">the Board </w:t>
      </w:r>
      <w:r>
        <w:t>at any time during the life of the Scheme</w:t>
      </w:r>
      <w:r w:rsidR="007310DC">
        <w:t>.</w:t>
      </w:r>
    </w:p>
    <w:p w14:paraId="7A10555A" w14:textId="77777777" w:rsidR="002604BD" w:rsidRDefault="002604BD" w:rsidP="008360E9">
      <w:pPr>
        <w:pStyle w:val="Clausenumber"/>
        <w:numPr>
          <w:ilvl w:val="0"/>
          <w:numId w:val="0"/>
        </w:numPr>
      </w:pPr>
    </w:p>
    <w:p w14:paraId="5FA7561A" w14:textId="77777777" w:rsidR="002604BD" w:rsidRDefault="002604BD" w:rsidP="008360E9">
      <w:pPr>
        <w:pStyle w:val="Clausenumber"/>
        <w:numPr>
          <w:ilvl w:val="0"/>
          <w:numId w:val="0"/>
        </w:numPr>
      </w:pPr>
    </w:p>
    <w:p w14:paraId="319F1FC1" w14:textId="77777777" w:rsidR="002604BD" w:rsidRDefault="002604BD" w:rsidP="008360E9">
      <w:pPr>
        <w:pStyle w:val="Clausenumber"/>
        <w:numPr>
          <w:ilvl w:val="0"/>
          <w:numId w:val="0"/>
        </w:numPr>
      </w:pPr>
    </w:p>
    <w:p w14:paraId="4091EFB4" w14:textId="77777777" w:rsidR="002604BD" w:rsidRDefault="002604BD" w:rsidP="008360E9">
      <w:pPr>
        <w:pStyle w:val="Clausenumber"/>
        <w:numPr>
          <w:ilvl w:val="0"/>
          <w:numId w:val="0"/>
        </w:numPr>
      </w:pPr>
    </w:p>
    <w:p w14:paraId="39A595E5" w14:textId="77777777" w:rsidR="002604BD" w:rsidRDefault="002604BD" w:rsidP="008360E9">
      <w:pPr>
        <w:pStyle w:val="Clausenumber"/>
        <w:numPr>
          <w:ilvl w:val="0"/>
          <w:numId w:val="0"/>
        </w:numPr>
      </w:pPr>
    </w:p>
    <w:p w14:paraId="2074534D" w14:textId="77777777" w:rsidR="008A6AE8" w:rsidRPr="009C6638" w:rsidRDefault="009C6638" w:rsidP="009C6638">
      <w:pPr>
        <w:pStyle w:val="Clausenonumber"/>
        <w:ind w:left="0"/>
        <w:rPr>
          <w:b/>
        </w:rPr>
      </w:pPr>
      <w:r>
        <w:br w:type="page"/>
      </w:r>
      <w:r w:rsidRPr="009C6638">
        <w:rPr>
          <w:b/>
        </w:rPr>
        <w:lastRenderedPageBreak/>
        <w:t>Appendix A: Definitions</w:t>
      </w:r>
      <w:r w:rsidR="00344B88">
        <w:rPr>
          <w:b/>
        </w:rPr>
        <w:t xml:space="preserve"> </w:t>
      </w:r>
      <w:r w:rsidR="00344B88" w:rsidRPr="004A2126">
        <w:t>(</w:t>
      </w:r>
      <w:r w:rsidR="006953A0" w:rsidRPr="006953A0">
        <w:rPr>
          <w:i/>
        </w:rPr>
        <w:t>policies refer</w:t>
      </w:r>
      <w:r w:rsidR="006953A0">
        <w:rPr>
          <w:i/>
        </w:rPr>
        <w:t>red to</w:t>
      </w:r>
      <w:r w:rsidR="00E560D1" w:rsidRPr="004A2126">
        <w:rPr>
          <w:i/>
        </w:rPr>
        <w:t xml:space="preserve"> in th</w:t>
      </w:r>
      <w:r w:rsidR="006953A0">
        <w:rPr>
          <w:i/>
        </w:rPr>
        <w:t>is document</w:t>
      </w:r>
      <w:r w:rsidR="00E560D1" w:rsidRPr="004A2126">
        <w:rPr>
          <w:i/>
        </w:rPr>
        <w:t xml:space="preserve"> are subject to change</w:t>
      </w:r>
      <w:r w:rsidR="006953A0">
        <w:rPr>
          <w:i/>
        </w:rPr>
        <w:t xml:space="preserve">. Contractors should check the </w:t>
      </w:r>
      <w:hyperlink r:id="rId16" w:history="1">
        <w:proofErr w:type="spellStart"/>
        <w:r w:rsidR="006953A0" w:rsidRPr="006953A0">
          <w:rPr>
            <w:rStyle w:val="Hyperlink"/>
            <w:i/>
          </w:rPr>
          <w:t>ProcurePoint</w:t>
        </w:r>
        <w:proofErr w:type="spellEnd"/>
      </w:hyperlink>
      <w:r w:rsidR="006953A0">
        <w:rPr>
          <w:i/>
        </w:rPr>
        <w:t xml:space="preserve"> website for updates &amp; changes</w:t>
      </w:r>
      <w:r w:rsidR="00E560D1">
        <w:t>)</w:t>
      </w:r>
      <w:r w:rsidR="00E560D1" w:rsidRPr="004A2126">
        <w:t xml:space="preserve"> </w:t>
      </w:r>
    </w:p>
    <w:p w14:paraId="29AC7409" w14:textId="77777777" w:rsidR="009C6638" w:rsidRDefault="009C6638" w:rsidP="009C6638">
      <w:pPr>
        <w:pStyle w:val="Clausenonumber"/>
        <w:spacing w:after="140"/>
        <w:ind w:left="0"/>
        <w:rPr>
          <w:i/>
          <w:sz w:val="20"/>
          <w:szCs w:val="20"/>
        </w:rPr>
      </w:pPr>
    </w:p>
    <w:p w14:paraId="57EC468C" w14:textId="77777777" w:rsidR="009C6638" w:rsidRPr="009C6638" w:rsidRDefault="009C6638" w:rsidP="009C6638">
      <w:pPr>
        <w:pStyle w:val="Clausenonumber"/>
        <w:spacing w:after="140"/>
        <w:ind w:left="0"/>
        <w:rPr>
          <w:sz w:val="20"/>
          <w:szCs w:val="20"/>
        </w:rPr>
      </w:pPr>
      <w:r w:rsidRPr="009C6638">
        <w:rPr>
          <w:i/>
          <w:sz w:val="20"/>
          <w:szCs w:val="20"/>
        </w:rPr>
        <w:t>Applicant</w:t>
      </w:r>
      <w:r w:rsidRPr="009C6638">
        <w:rPr>
          <w:sz w:val="20"/>
          <w:szCs w:val="20"/>
        </w:rPr>
        <w:t xml:space="preserve"> means an entity that has </w:t>
      </w:r>
      <w:proofErr w:type="gramStart"/>
      <w:r w:rsidRPr="009C6638">
        <w:rPr>
          <w:sz w:val="20"/>
          <w:szCs w:val="20"/>
        </w:rPr>
        <w:t>submitted an Application</w:t>
      </w:r>
      <w:proofErr w:type="gramEnd"/>
      <w:r w:rsidRPr="009C6638">
        <w:rPr>
          <w:sz w:val="20"/>
          <w:szCs w:val="20"/>
        </w:rPr>
        <w:t xml:space="preserve"> for prequalification under the Scheme</w:t>
      </w:r>
    </w:p>
    <w:p w14:paraId="1E5B5B6D" w14:textId="77777777" w:rsidR="009C6638" w:rsidRDefault="009C6638" w:rsidP="009C6638">
      <w:pPr>
        <w:pStyle w:val="Clausenonumber"/>
        <w:spacing w:after="140"/>
        <w:ind w:left="0"/>
        <w:rPr>
          <w:sz w:val="20"/>
          <w:szCs w:val="20"/>
        </w:rPr>
      </w:pPr>
      <w:r w:rsidRPr="009C6638">
        <w:rPr>
          <w:i/>
          <w:sz w:val="20"/>
          <w:szCs w:val="20"/>
        </w:rPr>
        <w:t>Application</w:t>
      </w:r>
      <w:r w:rsidRPr="009C6638">
        <w:rPr>
          <w:sz w:val="20"/>
          <w:szCs w:val="20"/>
        </w:rPr>
        <w:t xml:space="preserve"> means an online application for prequalification under the Scheme</w:t>
      </w:r>
    </w:p>
    <w:p w14:paraId="31CF3406" w14:textId="77777777" w:rsidR="00FF3442" w:rsidRDefault="00FF3442" w:rsidP="009C6638">
      <w:pPr>
        <w:pStyle w:val="Clausenonumber"/>
        <w:spacing w:after="140"/>
        <w:ind w:left="0"/>
        <w:rPr>
          <w:sz w:val="20"/>
          <w:szCs w:val="20"/>
        </w:rPr>
      </w:pPr>
      <w:r w:rsidRPr="00FF3442">
        <w:rPr>
          <w:i/>
          <w:sz w:val="20"/>
          <w:szCs w:val="20"/>
        </w:rPr>
        <w:t>Certified Contractor</w:t>
      </w:r>
      <w:r>
        <w:rPr>
          <w:sz w:val="20"/>
          <w:szCs w:val="20"/>
        </w:rPr>
        <w:t xml:space="preserve"> means an entity that has been approved to provide construction works valued between $150,000 and $1M</w:t>
      </w:r>
    </w:p>
    <w:p w14:paraId="750B9255" w14:textId="39FD7DFE" w:rsidR="00E6536F" w:rsidRPr="009C6638" w:rsidRDefault="00E6536F" w:rsidP="009C6638">
      <w:pPr>
        <w:pStyle w:val="Clausenonumber"/>
        <w:spacing w:after="140"/>
        <w:ind w:left="0"/>
        <w:rPr>
          <w:sz w:val="20"/>
          <w:szCs w:val="20"/>
        </w:rPr>
      </w:pPr>
      <w:r w:rsidRPr="00664CC7">
        <w:rPr>
          <w:i/>
          <w:sz w:val="20"/>
          <w:szCs w:val="20"/>
        </w:rPr>
        <w:t>Certified Contractor List</w:t>
      </w:r>
      <w:r>
        <w:rPr>
          <w:sz w:val="20"/>
          <w:szCs w:val="20"/>
        </w:rPr>
        <w:t xml:space="preserve"> means </w:t>
      </w:r>
      <w:r w:rsidRPr="009C6638">
        <w:rPr>
          <w:sz w:val="20"/>
          <w:szCs w:val="20"/>
        </w:rPr>
        <w:t xml:space="preserve">the list of contractors approved by </w:t>
      </w:r>
      <w:r w:rsidR="0085716F">
        <w:rPr>
          <w:sz w:val="20"/>
          <w:szCs w:val="20"/>
        </w:rPr>
        <w:t>DFSI</w:t>
      </w:r>
      <w:r w:rsidRPr="009C6638">
        <w:rPr>
          <w:sz w:val="20"/>
          <w:szCs w:val="20"/>
        </w:rPr>
        <w:t xml:space="preserve"> under the Scheme to provide construction works valued up to $</w:t>
      </w:r>
      <w:r>
        <w:rPr>
          <w:sz w:val="20"/>
          <w:szCs w:val="20"/>
        </w:rPr>
        <w:t>1M</w:t>
      </w:r>
      <w:r w:rsidRPr="009C6638">
        <w:rPr>
          <w:sz w:val="20"/>
          <w:szCs w:val="20"/>
        </w:rPr>
        <w:t xml:space="preserve"> published on </w:t>
      </w:r>
      <w:hyperlink r:id="rId17" w:history="1">
        <w:proofErr w:type="spellStart"/>
        <w:r w:rsidRPr="006953A0">
          <w:rPr>
            <w:rStyle w:val="Hyperlink"/>
            <w:sz w:val="20"/>
            <w:szCs w:val="20"/>
          </w:rPr>
          <w:t>ProcurePoint</w:t>
        </w:r>
        <w:proofErr w:type="spellEnd"/>
      </w:hyperlink>
    </w:p>
    <w:p w14:paraId="57F9C402" w14:textId="77777777" w:rsidR="009C6638" w:rsidRPr="009C6638" w:rsidRDefault="009C6638" w:rsidP="009C6638">
      <w:pPr>
        <w:pStyle w:val="Clausenonumber"/>
        <w:spacing w:after="140"/>
        <w:ind w:left="0"/>
        <w:rPr>
          <w:sz w:val="20"/>
          <w:szCs w:val="20"/>
        </w:rPr>
      </w:pPr>
      <w:r w:rsidRPr="009C6638">
        <w:rPr>
          <w:i/>
          <w:sz w:val="20"/>
          <w:szCs w:val="20"/>
        </w:rPr>
        <w:t xml:space="preserve">Code of Practice </w:t>
      </w:r>
      <w:r w:rsidRPr="009C6638">
        <w:rPr>
          <w:sz w:val="20"/>
          <w:szCs w:val="20"/>
        </w:rPr>
        <w:t>means the NSW Code of Practice for Procurement</w:t>
      </w:r>
    </w:p>
    <w:p w14:paraId="23E167C1" w14:textId="77777777" w:rsidR="009C6638" w:rsidRPr="009C6638" w:rsidRDefault="009C6638" w:rsidP="009C6638">
      <w:pPr>
        <w:pStyle w:val="Clausenonumber"/>
        <w:spacing w:after="140"/>
        <w:ind w:left="0"/>
        <w:rPr>
          <w:sz w:val="20"/>
          <w:szCs w:val="20"/>
        </w:rPr>
      </w:pPr>
      <w:r w:rsidRPr="009C6638">
        <w:rPr>
          <w:i/>
          <w:sz w:val="20"/>
          <w:szCs w:val="20"/>
        </w:rPr>
        <w:t>Contractor Performance Report</w:t>
      </w:r>
      <w:r w:rsidRPr="009C6638">
        <w:rPr>
          <w:sz w:val="20"/>
          <w:szCs w:val="20"/>
        </w:rPr>
        <w:t xml:space="preserve"> means the template document available </w:t>
      </w:r>
      <w:r w:rsidR="006C25B3">
        <w:rPr>
          <w:sz w:val="20"/>
          <w:szCs w:val="20"/>
        </w:rPr>
        <w:t xml:space="preserve">at Appendix C and </w:t>
      </w:r>
      <w:r w:rsidRPr="009C6638">
        <w:rPr>
          <w:sz w:val="20"/>
          <w:szCs w:val="20"/>
        </w:rPr>
        <w:t xml:space="preserve">on </w:t>
      </w:r>
      <w:hyperlink r:id="rId18" w:history="1">
        <w:proofErr w:type="spellStart"/>
        <w:r w:rsidRPr="006953A0">
          <w:rPr>
            <w:rStyle w:val="Hyperlink"/>
            <w:sz w:val="20"/>
            <w:szCs w:val="20"/>
          </w:rPr>
          <w:t>ProcurePoint</w:t>
        </w:r>
        <w:proofErr w:type="spellEnd"/>
      </w:hyperlink>
      <w:r w:rsidRPr="009C6638">
        <w:rPr>
          <w:sz w:val="20"/>
          <w:szCs w:val="20"/>
        </w:rPr>
        <w:t xml:space="preserve"> </w:t>
      </w:r>
    </w:p>
    <w:p w14:paraId="19562797" w14:textId="77777777" w:rsidR="009C6638" w:rsidRPr="009C6638" w:rsidRDefault="009C6638" w:rsidP="009C6638">
      <w:pPr>
        <w:pStyle w:val="Clausenonumber"/>
        <w:spacing w:after="140"/>
        <w:ind w:left="0"/>
        <w:rPr>
          <w:i/>
          <w:sz w:val="20"/>
          <w:szCs w:val="20"/>
        </w:rPr>
      </w:pPr>
      <w:r w:rsidRPr="009C6638">
        <w:rPr>
          <w:i/>
          <w:sz w:val="20"/>
          <w:szCs w:val="20"/>
        </w:rPr>
        <w:t xml:space="preserve">Financially solvent </w:t>
      </w:r>
      <w:r w:rsidRPr="009C6638">
        <w:rPr>
          <w:sz w:val="20"/>
          <w:szCs w:val="20"/>
        </w:rPr>
        <w:t>means net tangible assets are greater than liabilities, and the applicant is not subject to insolvency proceedings and is able to pay all debts when they fall due for payment</w:t>
      </w:r>
      <w:r w:rsidRPr="009C6638">
        <w:rPr>
          <w:i/>
          <w:sz w:val="20"/>
          <w:szCs w:val="20"/>
        </w:rPr>
        <w:t xml:space="preserve"> </w:t>
      </w:r>
    </w:p>
    <w:p w14:paraId="1939827B" w14:textId="77777777" w:rsidR="009C6638" w:rsidRPr="009C6638" w:rsidRDefault="009C6638" w:rsidP="009C6638">
      <w:pPr>
        <w:pStyle w:val="Clausenonumber"/>
        <w:spacing w:after="140"/>
        <w:ind w:left="0"/>
        <w:rPr>
          <w:i/>
          <w:sz w:val="20"/>
          <w:szCs w:val="20"/>
        </w:rPr>
      </w:pPr>
      <w:r w:rsidRPr="009C6638">
        <w:rPr>
          <w:i/>
          <w:sz w:val="20"/>
          <w:szCs w:val="20"/>
        </w:rPr>
        <w:t xml:space="preserve">Inspection and Test Plan </w:t>
      </w:r>
      <w:r w:rsidRPr="009C6638">
        <w:rPr>
          <w:sz w:val="20"/>
          <w:szCs w:val="20"/>
        </w:rPr>
        <w:t xml:space="preserve">is a document that records all inspection and testing requirements and demonstrates that required standards have been met </w:t>
      </w:r>
    </w:p>
    <w:p w14:paraId="4E4F6C1E" w14:textId="77777777" w:rsidR="009C6638" w:rsidRPr="009C6638" w:rsidRDefault="009C6638" w:rsidP="009C6638">
      <w:pPr>
        <w:pStyle w:val="Clausenonumber"/>
        <w:spacing w:after="140"/>
        <w:ind w:left="0"/>
        <w:rPr>
          <w:sz w:val="20"/>
          <w:szCs w:val="20"/>
        </w:rPr>
      </w:pPr>
      <w:r w:rsidRPr="009C6638">
        <w:rPr>
          <w:i/>
          <w:sz w:val="20"/>
          <w:szCs w:val="20"/>
        </w:rPr>
        <w:t xml:space="preserve">NSW Procurement Framework </w:t>
      </w:r>
      <w:r w:rsidRPr="009C6638">
        <w:rPr>
          <w:sz w:val="20"/>
          <w:szCs w:val="20"/>
        </w:rPr>
        <w:t>means the suite of legislation, policies, Board Directions and other rules that apply to construction procurement in NSW</w:t>
      </w:r>
    </w:p>
    <w:p w14:paraId="57F3A705" w14:textId="77777777" w:rsidR="009C6638" w:rsidRDefault="009C6638" w:rsidP="009C6638">
      <w:pPr>
        <w:pStyle w:val="Clausenonumber"/>
        <w:spacing w:after="140"/>
        <w:ind w:left="0"/>
        <w:rPr>
          <w:sz w:val="20"/>
          <w:szCs w:val="20"/>
        </w:rPr>
      </w:pPr>
      <w:r w:rsidRPr="009C6638">
        <w:rPr>
          <w:i/>
          <w:sz w:val="20"/>
          <w:szCs w:val="20"/>
        </w:rPr>
        <w:t xml:space="preserve">Performance Management </w:t>
      </w:r>
      <w:r w:rsidR="00E6040D">
        <w:rPr>
          <w:i/>
          <w:sz w:val="20"/>
          <w:szCs w:val="20"/>
        </w:rPr>
        <w:t xml:space="preserve">Procurement </w:t>
      </w:r>
      <w:r w:rsidRPr="009C6638">
        <w:rPr>
          <w:i/>
          <w:sz w:val="20"/>
          <w:szCs w:val="20"/>
        </w:rPr>
        <w:t>Practice Guide</w:t>
      </w:r>
      <w:r w:rsidRPr="009C6638">
        <w:rPr>
          <w:sz w:val="20"/>
          <w:szCs w:val="20"/>
        </w:rPr>
        <w:t xml:space="preserve"> means the document available on </w:t>
      </w:r>
      <w:hyperlink r:id="rId19" w:history="1">
        <w:proofErr w:type="spellStart"/>
        <w:r w:rsidRPr="006953A0">
          <w:rPr>
            <w:rStyle w:val="Hyperlink"/>
            <w:sz w:val="20"/>
            <w:szCs w:val="20"/>
          </w:rPr>
          <w:t>ProcurePoint</w:t>
        </w:r>
        <w:proofErr w:type="spellEnd"/>
      </w:hyperlink>
      <w:r w:rsidRPr="009C6638">
        <w:rPr>
          <w:sz w:val="20"/>
          <w:szCs w:val="20"/>
        </w:rPr>
        <w:t xml:space="preserve"> setting out the performance requirements for contractors carrying out construction contracts valued at more than $500,000</w:t>
      </w:r>
    </w:p>
    <w:p w14:paraId="395B48C7" w14:textId="77777777" w:rsidR="009C6638" w:rsidRPr="009C6638" w:rsidRDefault="009C6638" w:rsidP="009C6638">
      <w:pPr>
        <w:pStyle w:val="Clausenonumber"/>
        <w:spacing w:after="140"/>
        <w:ind w:left="0"/>
        <w:rPr>
          <w:sz w:val="20"/>
          <w:szCs w:val="20"/>
        </w:rPr>
      </w:pPr>
      <w:r w:rsidRPr="009C6638">
        <w:rPr>
          <w:i/>
          <w:sz w:val="20"/>
          <w:szCs w:val="20"/>
        </w:rPr>
        <w:t>Prequalified Contractor</w:t>
      </w:r>
      <w:r w:rsidRPr="009C6638">
        <w:rPr>
          <w:sz w:val="20"/>
          <w:szCs w:val="20"/>
        </w:rPr>
        <w:t xml:space="preserve"> means an entity that has been approved under the Scheme to provide construction works valued up to $1M</w:t>
      </w:r>
    </w:p>
    <w:p w14:paraId="7E03CB96" w14:textId="4CD73AE9" w:rsidR="009C6638" w:rsidRPr="009C6638" w:rsidRDefault="009C6638" w:rsidP="009C6638">
      <w:pPr>
        <w:pStyle w:val="Clausenonumber"/>
        <w:spacing w:after="140"/>
        <w:ind w:left="0"/>
        <w:rPr>
          <w:sz w:val="20"/>
          <w:szCs w:val="20"/>
        </w:rPr>
      </w:pPr>
      <w:r w:rsidRPr="009C6638">
        <w:rPr>
          <w:i/>
          <w:sz w:val="20"/>
          <w:szCs w:val="20"/>
        </w:rPr>
        <w:t xml:space="preserve">Prequalified Contractor List </w:t>
      </w:r>
      <w:r w:rsidRPr="009C6638">
        <w:rPr>
          <w:sz w:val="20"/>
          <w:szCs w:val="20"/>
        </w:rPr>
        <w:t xml:space="preserve">means the list of contractors approved by </w:t>
      </w:r>
      <w:r w:rsidR="0085716F">
        <w:rPr>
          <w:sz w:val="20"/>
          <w:szCs w:val="20"/>
        </w:rPr>
        <w:t>DFSI</w:t>
      </w:r>
      <w:r w:rsidRPr="009C6638">
        <w:rPr>
          <w:sz w:val="20"/>
          <w:szCs w:val="20"/>
        </w:rPr>
        <w:t xml:space="preserve"> under the Scheme to provide construction works valued up to $1M published on </w:t>
      </w:r>
      <w:hyperlink r:id="rId20" w:history="1">
        <w:proofErr w:type="spellStart"/>
        <w:r w:rsidRPr="006953A0">
          <w:rPr>
            <w:rStyle w:val="Hyperlink"/>
            <w:sz w:val="20"/>
            <w:szCs w:val="20"/>
          </w:rPr>
          <w:t>ProcurePoint</w:t>
        </w:r>
        <w:proofErr w:type="spellEnd"/>
      </w:hyperlink>
      <w:r w:rsidRPr="009C6638">
        <w:rPr>
          <w:sz w:val="20"/>
          <w:szCs w:val="20"/>
        </w:rPr>
        <w:t xml:space="preserve"> </w:t>
      </w:r>
    </w:p>
    <w:p w14:paraId="72A63CC4" w14:textId="77777777" w:rsidR="009C6638" w:rsidRPr="009C6638" w:rsidRDefault="009C6638" w:rsidP="009C6638">
      <w:pPr>
        <w:pStyle w:val="Clausenonumber"/>
        <w:spacing w:after="140"/>
        <w:ind w:left="0"/>
        <w:rPr>
          <w:sz w:val="20"/>
          <w:szCs w:val="20"/>
        </w:rPr>
      </w:pPr>
      <w:r w:rsidRPr="009C6638">
        <w:rPr>
          <w:i/>
          <w:sz w:val="20"/>
          <w:szCs w:val="20"/>
        </w:rPr>
        <w:t>Quality Management System Guidelines</w:t>
      </w:r>
      <w:r w:rsidRPr="009C6638">
        <w:rPr>
          <w:sz w:val="20"/>
          <w:szCs w:val="20"/>
        </w:rPr>
        <w:t xml:space="preserve"> </w:t>
      </w:r>
      <w:r w:rsidR="006953A0" w:rsidRPr="004A2126">
        <w:rPr>
          <w:i/>
          <w:sz w:val="20"/>
          <w:szCs w:val="20"/>
        </w:rPr>
        <w:t>for Construction</w:t>
      </w:r>
      <w:r w:rsidR="006953A0">
        <w:rPr>
          <w:sz w:val="20"/>
          <w:szCs w:val="20"/>
        </w:rPr>
        <w:t xml:space="preserve"> </w:t>
      </w:r>
      <w:r w:rsidRPr="009C6638">
        <w:rPr>
          <w:sz w:val="20"/>
          <w:szCs w:val="20"/>
        </w:rPr>
        <w:t xml:space="preserve">means the document on </w:t>
      </w:r>
      <w:hyperlink r:id="rId21" w:history="1">
        <w:proofErr w:type="spellStart"/>
        <w:r w:rsidRPr="006953A0">
          <w:rPr>
            <w:rStyle w:val="Hyperlink"/>
            <w:sz w:val="20"/>
            <w:szCs w:val="20"/>
          </w:rPr>
          <w:t>ProcurePoint</w:t>
        </w:r>
        <w:proofErr w:type="spellEnd"/>
      </w:hyperlink>
      <w:r w:rsidRPr="009C6638">
        <w:rPr>
          <w:sz w:val="20"/>
          <w:szCs w:val="20"/>
        </w:rPr>
        <w:t xml:space="preserve"> setting out requirements relating to systems and business improvements</w:t>
      </w:r>
    </w:p>
    <w:p w14:paraId="6E760E08" w14:textId="77FBDAFA" w:rsidR="009C6638" w:rsidRPr="009C6638" w:rsidRDefault="009C6638" w:rsidP="009C6638">
      <w:pPr>
        <w:pStyle w:val="Clausenonumber"/>
        <w:spacing w:after="140"/>
        <w:ind w:left="0"/>
        <w:rPr>
          <w:sz w:val="20"/>
          <w:szCs w:val="20"/>
        </w:rPr>
      </w:pPr>
      <w:proofErr w:type="spellStart"/>
      <w:r w:rsidRPr="009C6638">
        <w:rPr>
          <w:i/>
          <w:sz w:val="20"/>
          <w:szCs w:val="20"/>
        </w:rPr>
        <w:t>ProcurePoint</w:t>
      </w:r>
      <w:proofErr w:type="spellEnd"/>
      <w:r w:rsidRPr="009C6638">
        <w:rPr>
          <w:i/>
          <w:sz w:val="20"/>
          <w:szCs w:val="20"/>
        </w:rPr>
        <w:t xml:space="preserve"> </w:t>
      </w:r>
      <w:r w:rsidRPr="009C6638">
        <w:rPr>
          <w:sz w:val="20"/>
          <w:szCs w:val="20"/>
        </w:rPr>
        <w:t xml:space="preserve">means the website maintained by </w:t>
      </w:r>
      <w:r w:rsidR="0085716F">
        <w:rPr>
          <w:sz w:val="20"/>
          <w:szCs w:val="20"/>
        </w:rPr>
        <w:t>DFSI</w:t>
      </w:r>
      <w:r w:rsidRPr="009C6638">
        <w:rPr>
          <w:sz w:val="20"/>
          <w:szCs w:val="20"/>
        </w:rPr>
        <w:t xml:space="preserve"> at </w:t>
      </w:r>
      <w:hyperlink r:id="rId22" w:history="1">
        <w:r w:rsidRPr="009C6638">
          <w:rPr>
            <w:rStyle w:val="Hyperlink"/>
            <w:sz w:val="20"/>
            <w:szCs w:val="20"/>
          </w:rPr>
          <w:t>https://www.procurepoint.nsw.gov.au/</w:t>
        </w:r>
      </w:hyperlink>
      <w:r w:rsidRPr="009C6638">
        <w:rPr>
          <w:sz w:val="20"/>
          <w:szCs w:val="20"/>
        </w:rPr>
        <w:t xml:space="preserve"> </w:t>
      </w:r>
    </w:p>
    <w:p w14:paraId="42053939" w14:textId="77777777" w:rsidR="009C6638" w:rsidRPr="009C6638" w:rsidRDefault="009C6638" w:rsidP="009C6638">
      <w:pPr>
        <w:pStyle w:val="Clausenonumber"/>
        <w:spacing w:after="140"/>
        <w:ind w:left="0"/>
        <w:rPr>
          <w:sz w:val="20"/>
          <w:szCs w:val="20"/>
        </w:rPr>
      </w:pPr>
      <w:r w:rsidRPr="009C6638">
        <w:rPr>
          <w:i/>
          <w:sz w:val="20"/>
          <w:szCs w:val="20"/>
        </w:rPr>
        <w:t>Referee Report</w:t>
      </w:r>
      <w:r w:rsidRPr="009C6638">
        <w:rPr>
          <w:sz w:val="20"/>
          <w:szCs w:val="20"/>
        </w:rPr>
        <w:t xml:space="preserve"> means the template document available on </w:t>
      </w:r>
      <w:hyperlink r:id="rId23" w:history="1">
        <w:proofErr w:type="spellStart"/>
        <w:r w:rsidRPr="006953A0">
          <w:rPr>
            <w:rStyle w:val="Hyperlink"/>
            <w:sz w:val="20"/>
            <w:szCs w:val="20"/>
          </w:rPr>
          <w:t>ProcurePoint</w:t>
        </w:r>
        <w:proofErr w:type="spellEnd"/>
      </w:hyperlink>
    </w:p>
    <w:p w14:paraId="5D712456" w14:textId="77777777" w:rsidR="009C6638" w:rsidRPr="009C6638" w:rsidRDefault="009C6638" w:rsidP="009C6638">
      <w:pPr>
        <w:pStyle w:val="Clausenonumber"/>
        <w:spacing w:after="140"/>
        <w:ind w:left="0"/>
        <w:rPr>
          <w:sz w:val="20"/>
          <w:szCs w:val="20"/>
        </w:rPr>
      </w:pPr>
      <w:r w:rsidRPr="009C6638">
        <w:rPr>
          <w:i/>
          <w:sz w:val="20"/>
          <w:szCs w:val="20"/>
        </w:rPr>
        <w:t>Registered Contractor</w:t>
      </w:r>
      <w:r w:rsidRPr="009C6638">
        <w:rPr>
          <w:sz w:val="20"/>
          <w:szCs w:val="20"/>
        </w:rPr>
        <w:t xml:space="preserve"> means an entity that has been approved to provide construction works valued up to $150,000</w:t>
      </w:r>
    </w:p>
    <w:p w14:paraId="588BCEE8" w14:textId="140C9CF6" w:rsidR="009C6638" w:rsidRPr="009C6638" w:rsidRDefault="009C6638" w:rsidP="009C6638">
      <w:pPr>
        <w:pStyle w:val="Clausenonumber"/>
        <w:spacing w:after="140"/>
        <w:ind w:left="0"/>
        <w:rPr>
          <w:sz w:val="20"/>
          <w:szCs w:val="20"/>
        </w:rPr>
      </w:pPr>
      <w:r w:rsidRPr="009C6638">
        <w:rPr>
          <w:i/>
          <w:sz w:val="20"/>
          <w:szCs w:val="20"/>
        </w:rPr>
        <w:t>Registered Contractor List</w:t>
      </w:r>
      <w:r w:rsidRPr="009C6638">
        <w:rPr>
          <w:sz w:val="20"/>
          <w:szCs w:val="20"/>
        </w:rPr>
        <w:t xml:space="preserve"> means the list of contractors approved by </w:t>
      </w:r>
      <w:r w:rsidR="0085716F">
        <w:rPr>
          <w:sz w:val="20"/>
          <w:szCs w:val="20"/>
        </w:rPr>
        <w:t>DFSI</w:t>
      </w:r>
      <w:r w:rsidRPr="009C6638">
        <w:rPr>
          <w:sz w:val="20"/>
          <w:szCs w:val="20"/>
        </w:rPr>
        <w:t xml:space="preserve"> under the Scheme to provide construction works valued up to $</w:t>
      </w:r>
      <w:r w:rsidR="00C70DBA">
        <w:rPr>
          <w:sz w:val="20"/>
          <w:szCs w:val="20"/>
        </w:rPr>
        <w:t>1</w:t>
      </w:r>
      <w:r w:rsidRPr="009C6638">
        <w:rPr>
          <w:sz w:val="20"/>
          <w:szCs w:val="20"/>
        </w:rPr>
        <w:t xml:space="preserve">50,000, published on </w:t>
      </w:r>
      <w:hyperlink r:id="rId24" w:history="1">
        <w:proofErr w:type="spellStart"/>
        <w:r w:rsidRPr="006953A0">
          <w:rPr>
            <w:rStyle w:val="Hyperlink"/>
            <w:sz w:val="20"/>
            <w:szCs w:val="20"/>
          </w:rPr>
          <w:t>ProcurePoint</w:t>
        </w:r>
        <w:proofErr w:type="spellEnd"/>
      </w:hyperlink>
      <w:r w:rsidRPr="009C6638">
        <w:rPr>
          <w:sz w:val="20"/>
          <w:szCs w:val="20"/>
        </w:rPr>
        <w:t xml:space="preserve"> </w:t>
      </w:r>
    </w:p>
    <w:p w14:paraId="068D880E" w14:textId="77777777" w:rsidR="009C6638" w:rsidRPr="009C6638" w:rsidRDefault="00E560D1" w:rsidP="009C6638">
      <w:pPr>
        <w:pStyle w:val="Clausenonumber"/>
        <w:spacing w:after="140"/>
        <w:ind w:left="0"/>
        <w:rPr>
          <w:sz w:val="20"/>
          <w:szCs w:val="20"/>
        </w:rPr>
      </w:pPr>
      <w:r>
        <w:rPr>
          <w:i/>
          <w:sz w:val="20"/>
          <w:szCs w:val="20"/>
        </w:rPr>
        <w:t>WHS</w:t>
      </w:r>
      <w:r w:rsidR="00EC5F85">
        <w:rPr>
          <w:i/>
          <w:sz w:val="20"/>
          <w:szCs w:val="20"/>
        </w:rPr>
        <w:t xml:space="preserve"> </w:t>
      </w:r>
      <w:r w:rsidR="009C6638" w:rsidRPr="009C6638">
        <w:rPr>
          <w:i/>
          <w:sz w:val="20"/>
          <w:szCs w:val="20"/>
        </w:rPr>
        <w:t>Safety Management Plan</w:t>
      </w:r>
      <w:r w:rsidR="009C6638" w:rsidRPr="009C6638">
        <w:rPr>
          <w:sz w:val="20"/>
          <w:szCs w:val="20"/>
        </w:rPr>
        <w:t xml:space="preserve"> means a document that </w:t>
      </w:r>
      <w:r w:rsidR="00E6536F">
        <w:rPr>
          <w:sz w:val="20"/>
          <w:szCs w:val="20"/>
        </w:rPr>
        <w:t>contains</w:t>
      </w:r>
      <w:r w:rsidR="009C6638" w:rsidRPr="009C6638">
        <w:rPr>
          <w:sz w:val="20"/>
          <w:szCs w:val="20"/>
        </w:rPr>
        <w:t xml:space="preserve"> arrangements to manage </w:t>
      </w:r>
      <w:r w:rsidR="00E6536F">
        <w:rPr>
          <w:sz w:val="20"/>
          <w:szCs w:val="20"/>
        </w:rPr>
        <w:t>WHS</w:t>
      </w:r>
      <w:r w:rsidR="009C6638" w:rsidRPr="009C6638">
        <w:rPr>
          <w:sz w:val="20"/>
          <w:szCs w:val="20"/>
        </w:rPr>
        <w:t xml:space="preserve"> on a construction project</w:t>
      </w:r>
      <w:r w:rsidR="00EC5F85">
        <w:rPr>
          <w:sz w:val="20"/>
          <w:szCs w:val="20"/>
        </w:rPr>
        <w:t xml:space="preserve"> (see WHS Management Systems and Auditing Guidelines)</w:t>
      </w:r>
    </w:p>
    <w:p w14:paraId="7EA93888" w14:textId="77777777" w:rsidR="009C6638" w:rsidRPr="009C6638" w:rsidRDefault="009C6638" w:rsidP="009C6638">
      <w:pPr>
        <w:pStyle w:val="Clausenonumber"/>
        <w:spacing w:after="140"/>
        <w:ind w:left="0"/>
        <w:rPr>
          <w:i/>
          <w:sz w:val="20"/>
          <w:szCs w:val="20"/>
        </w:rPr>
      </w:pPr>
      <w:r w:rsidRPr="009C6638">
        <w:rPr>
          <w:i/>
          <w:sz w:val="20"/>
          <w:szCs w:val="20"/>
        </w:rPr>
        <w:t xml:space="preserve">Scheme </w:t>
      </w:r>
      <w:r w:rsidRPr="009C6638">
        <w:rPr>
          <w:sz w:val="20"/>
          <w:szCs w:val="20"/>
        </w:rPr>
        <w:t xml:space="preserve">means Prequalification Scheme for </w:t>
      </w:r>
      <w:r w:rsidR="00FF5A85">
        <w:rPr>
          <w:sz w:val="20"/>
          <w:szCs w:val="20"/>
        </w:rPr>
        <w:t xml:space="preserve">General </w:t>
      </w:r>
      <w:r w:rsidRPr="009C6638">
        <w:rPr>
          <w:sz w:val="20"/>
          <w:szCs w:val="20"/>
        </w:rPr>
        <w:t xml:space="preserve">Construction Works Valued </w:t>
      </w:r>
      <w:r w:rsidR="00FF5A85">
        <w:rPr>
          <w:sz w:val="20"/>
          <w:szCs w:val="20"/>
        </w:rPr>
        <w:t>up to</w:t>
      </w:r>
      <w:r w:rsidRPr="009C6638">
        <w:rPr>
          <w:sz w:val="20"/>
          <w:szCs w:val="20"/>
        </w:rPr>
        <w:t xml:space="preserve"> $1</w:t>
      </w:r>
      <w:r w:rsidR="006953A0">
        <w:rPr>
          <w:sz w:val="20"/>
          <w:szCs w:val="20"/>
        </w:rPr>
        <w:t>M</w:t>
      </w:r>
    </w:p>
    <w:p w14:paraId="3CEAA321" w14:textId="77777777" w:rsidR="009C6638" w:rsidRPr="009C6638" w:rsidRDefault="009C6638" w:rsidP="009C6638">
      <w:pPr>
        <w:pStyle w:val="Clausenonumber"/>
        <w:spacing w:after="140"/>
        <w:ind w:left="0"/>
        <w:rPr>
          <w:sz w:val="20"/>
          <w:szCs w:val="20"/>
        </w:rPr>
      </w:pPr>
      <w:r w:rsidRPr="009C6638">
        <w:rPr>
          <w:i/>
          <w:sz w:val="20"/>
          <w:szCs w:val="20"/>
        </w:rPr>
        <w:t xml:space="preserve">Scheme Conditions </w:t>
      </w:r>
      <w:r w:rsidRPr="009C6638">
        <w:rPr>
          <w:sz w:val="20"/>
          <w:szCs w:val="20"/>
        </w:rPr>
        <w:t xml:space="preserve">means this document </w:t>
      </w:r>
    </w:p>
    <w:p w14:paraId="10810E38" w14:textId="77777777" w:rsidR="009C6638" w:rsidRPr="009C6638" w:rsidRDefault="009C6638" w:rsidP="009C6638">
      <w:pPr>
        <w:pStyle w:val="Clausenonumber"/>
        <w:spacing w:after="140"/>
        <w:ind w:left="0"/>
        <w:rPr>
          <w:sz w:val="20"/>
          <w:szCs w:val="20"/>
        </w:rPr>
      </w:pPr>
      <w:r w:rsidRPr="009C6638">
        <w:rPr>
          <w:i/>
          <w:sz w:val="20"/>
          <w:szCs w:val="20"/>
        </w:rPr>
        <w:t>Scheme Rules</w:t>
      </w:r>
      <w:r w:rsidRPr="009C6638">
        <w:rPr>
          <w:sz w:val="20"/>
          <w:szCs w:val="20"/>
        </w:rPr>
        <w:t xml:space="preserve"> mean agency requirements con</w:t>
      </w:r>
      <w:r w:rsidR="00414912">
        <w:rPr>
          <w:sz w:val="20"/>
          <w:szCs w:val="20"/>
        </w:rPr>
        <w:t>tained in Board Direction C2014-04</w:t>
      </w:r>
    </w:p>
    <w:p w14:paraId="420B3D08" w14:textId="4BC5D7EE" w:rsidR="009C6638" w:rsidRPr="009C6638" w:rsidRDefault="009C6638" w:rsidP="009C6638">
      <w:pPr>
        <w:pStyle w:val="Clausenonumber"/>
        <w:spacing w:after="140"/>
        <w:ind w:left="0"/>
        <w:rPr>
          <w:sz w:val="20"/>
          <w:szCs w:val="20"/>
        </w:rPr>
      </w:pPr>
      <w:r w:rsidRPr="009C6638">
        <w:rPr>
          <w:i/>
          <w:sz w:val="20"/>
          <w:szCs w:val="20"/>
        </w:rPr>
        <w:t>The Office</w:t>
      </w:r>
      <w:r w:rsidRPr="009C6638">
        <w:rPr>
          <w:sz w:val="20"/>
          <w:szCs w:val="20"/>
        </w:rPr>
        <w:t xml:space="preserve"> or </w:t>
      </w:r>
      <w:r w:rsidR="0085716F">
        <w:rPr>
          <w:sz w:val="20"/>
          <w:szCs w:val="20"/>
        </w:rPr>
        <w:t>DFSI</w:t>
      </w:r>
      <w:r w:rsidRPr="009C6638">
        <w:rPr>
          <w:sz w:val="20"/>
          <w:szCs w:val="20"/>
        </w:rPr>
        <w:t xml:space="preserve"> means the </w:t>
      </w:r>
      <w:r w:rsidR="00DF5FA7">
        <w:rPr>
          <w:sz w:val="20"/>
          <w:szCs w:val="20"/>
        </w:rPr>
        <w:t>Department of Finance, Services and Innovation</w:t>
      </w:r>
    </w:p>
    <w:p w14:paraId="443128B5" w14:textId="7FF99BDA" w:rsidR="009C6638" w:rsidRPr="009C6638" w:rsidRDefault="009C6638" w:rsidP="009C6638">
      <w:pPr>
        <w:pStyle w:val="Clausenonumber"/>
        <w:spacing w:after="140"/>
        <w:ind w:left="0"/>
        <w:rPr>
          <w:color w:val="000000"/>
          <w:sz w:val="20"/>
          <w:szCs w:val="20"/>
          <w:lang w:val="en"/>
        </w:rPr>
      </w:pPr>
      <w:r w:rsidRPr="009C6638">
        <w:rPr>
          <w:i/>
          <w:sz w:val="20"/>
          <w:szCs w:val="20"/>
        </w:rPr>
        <w:t xml:space="preserve">WHS Laws </w:t>
      </w:r>
      <w:r w:rsidRPr="009C6638">
        <w:rPr>
          <w:sz w:val="20"/>
          <w:szCs w:val="20"/>
        </w:rPr>
        <w:t xml:space="preserve">means the </w:t>
      </w:r>
      <w:r w:rsidR="00E560D1">
        <w:rPr>
          <w:sz w:val="20"/>
          <w:szCs w:val="20"/>
        </w:rPr>
        <w:t xml:space="preserve">NSW </w:t>
      </w:r>
      <w:hyperlink r:id="rId25" w:tgtFrame="_blank" w:tooltip="This link will open in a new window.  " w:history="1">
        <w:r w:rsidRPr="009C6638">
          <w:rPr>
            <w:rStyle w:val="Emphasis"/>
            <w:i w:val="0"/>
            <w:color w:val="000000"/>
            <w:sz w:val="20"/>
            <w:szCs w:val="20"/>
            <w:shd w:val="clear" w:color="auto" w:fill="FFFFFF"/>
            <w:lang w:val="en"/>
          </w:rPr>
          <w:t>Work Health and Safety Act 2011</w:t>
        </w:r>
      </w:hyperlink>
      <w:r w:rsidRPr="009C6638">
        <w:rPr>
          <w:color w:val="000000"/>
          <w:sz w:val="20"/>
          <w:szCs w:val="20"/>
          <w:lang w:val="en"/>
        </w:rPr>
        <w:t xml:space="preserve"> and </w:t>
      </w:r>
      <w:hyperlink r:id="rId26" w:tgtFrame="_blank" w:tooltip="This link will open in a new window" w:history="1">
        <w:r w:rsidRPr="009C6638">
          <w:rPr>
            <w:rStyle w:val="Emphasis"/>
            <w:i w:val="0"/>
            <w:color w:val="000000"/>
            <w:sz w:val="20"/>
            <w:szCs w:val="20"/>
            <w:shd w:val="clear" w:color="auto" w:fill="FFFFFF"/>
            <w:lang w:val="en"/>
          </w:rPr>
          <w:t>Work Health and Safety</w:t>
        </w:r>
        <w:r>
          <w:rPr>
            <w:rStyle w:val="Emphasis"/>
            <w:i w:val="0"/>
            <w:color w:val="000000"/>
            <w:sz w:val="20"/>
            <w:szCs w:val="20"/>
            <w:shd w:val="clear" w:color="auto" w:fill="FFFFFF"/>
            <w:lang w:val="en"/>
          </w:rPr>
          <w:t xml:space="preserve"> </w:t>
        </w:r>
        <w:r w:rsidRPr="009C6638">
          <w:rPr>
            <w:rStyle w:val="Emphasis"/>
            <w:i w:val="0"/>
            <w:color w:val="000000"/>
            <w:sz w:val="20"/>
            <w:szCs w:val="20"/>
            <w:shd w:val="clear" w:color="auto" w:fill="FFFFFF"/>
            <w:lang w:val="en"/>
          </w:rPr>
          <w:t xml:space="preserve">Regulation </w:t>
        </w:r>
        <w:r w:rsidR="00DF5FA7">
          <w:rPr>
            <w:rStyle w:val="Emphasis"/>
            <w:i w:val="0"/>
            <w:color w:val="000000"/>
            <w:sz w:val="20"/>
            <w:szCs w:val="20"/>
            <w:shd w:val="clear" w:color="auto" w:fill="FFFFFF"/>
            <w:lang w:val="en"/>
          </w:rPr>
          <w:t>2017</w:t>
        </w:r>
      </w:hyperlink>
      <w:r>
        <w:rPr>
          <w:rStyle w:val="Emphasis"/>
          <w:i w:val="0"/>
          <w:color w:val="000000"/>
          <w:sz w:val="20"/>
          <w:szCs w:val="20"/>
          <w:lang w:val="en"/>
        </w:rPr>
        <w:t xml:space="preserve"> </w:t>
      </w:r>
    </w:p>
    <w:p w14:paraId="2CF38890" w14:textId="77777777" w:rsidR="009C6638" w:rsidRPr="009C6638" w:rsidRDefault="009C6638" w:rsidP="009C6638">
      <w:pPr>
        <w:pStyle w:val="Clausenonumber"/>
        <w:spacing w:after="140"/>
        <w:ind w:left="0"/>
        <w:rPr>
          <w:sz w:val="20"/>
          <w:szCs w:val="20"/>
        </w:rPr>
      </w:pPr>
      <w:bookmarkStart w:id="65" w:name="_Toc34052977"/>
      <w:bookmarkStart w:id="66" w:name="_Toc34117779"/>
      <w:bookmarkStart w:id="67" w:name="_Toc34123577"/>
      <w:bookmarkStart w:id="68" w:name="_Toc35061311"/>
      <w:bookmarkStart w:id="69" w:name="_Toc364947969"/>
      <w:bookmarkStart w:id="70" w:name="_Toc364948086"/>
      <w:bookmarkStart w:id="71" w:name="_Toc365467482"/>
      <w:r w:rsidRPr="009C6638">
        <w:rPr>
          <w:i/>
          <w:sz w:val="20"/>
          <w:szCs w:val="20"/>
        </w:rPr>
        <w:t>Work Health and Safety Management Systems</w:t>
      </w:r>
      <w:bookmarkEnd w:id="65"/>
      <w:bookmarkEnd w:id="66"/>
      <w:bookmarkEnd w:id="67"/>
      <w:bookmarkEnd w:id="68"/>
      <w:r w:rsidRPr="009C6638">
        <w:rPr>
          <w:i/>
          <w:sz w:val="20"/>
          <w:szCs w:val="20"/>
        </w:rPr>
        <w:t xml:space="preserve"> and Auditing Guidelines</w:t>
      </w:r>
      <w:bookmarkEnd w:id="69"/>
      <w:bookmarkEnd w:id="70"/>
      <w:bookmarkEnd w:id="71"/>
      <w:r w:rsidRPr="009C6638">
        <w:rPr>
          <w:i/>
          <w:sz w:val="20"/>
          <w:szCs w:val="20"/>
        </w:rPr>
        <w:t xml:space="preserve"> </w:t>
      </w:r>
      <w:r w:rsidRPr="009C6638">
        <w:rPr>
          <w:sz w:val="20"/>
          <w:szCs w:val="20"/>
        </w:rPr>
        <w:t xml:space="preserve">means the document setting </w:t>
      </w:r>
      <w:r w:rsidRPr="009C6638">
        <w:rPr>
          <w:color w:val="000000"/>
          <w:sz w:val="20"/>
          <w:szCs w:val="20"/>
        </w:rPr>
        <w:t xml:space="preserve">minimum standards across NSW government construction projects </w:t>
      </w:r>
    </w:p>
    <w:p w14:paraId="15CAC9DE" w14:textId="77777777" w:rsidR="00B2169D" w:rsidRPr="009C6638" w:rsidRDefault="00B2169D" w:rsidP="00B2169D">
      <w:pPr>
        <w:pStyle w:val="Clausenonumber"/>
        <w:ind w:left="0"/>
        <w:rPr>
          <w:b/>
        </w:rPr>
      </w:pPr>
      <w:r>
        <w:br w:type="page"/>
      </w:r>
      <w:r w:rsidRPr="009C6638">
        <w:rPr>
          <w:b/>
        </w:rPr>
        <w:lastRenderedPageBreak/>
        <w:t xml:space="preserve">Appendix </w:t>
      </w:r>
      <w:r>
        <w:rPr>
          <w:b/>
        </w:rPr>
        <w:t>B</w:t>
      </w:r>
      <w:r w:rsidRPr="009C6638">
        <w:rPr>
          <w:b/>
        </w:rPr>
        <w:t xml:space="preserve">: </w:t>
      </w:r>
      <w:r>
        <w:rPr>
          <w:b/>
        </w:rPr>
        <w:t>Categories of Work</w:t>
      </w:r>
    </w:p>
    <w:p w14:paraId="1FAEFD0D" w14:textId="77777777" w:rsidR="00B2169D" w:rsidRDefault="00B2169D" w:rsidP="00B2169D"/>
    <w:tbl>
      <w:tblPr>
        <w:tblStyle w:val="TableGrid"/>
        <w:tblW w:w="0" w:type="auto"/>
        <w:tblLook w:val="04A0" w:firstRow="1" w:lastRow="0" w:firstColumn="1" w:lastColumn="0" w:noHBand="0" w:noVBand="1"/>
      </w:tblPr>
      <w:tblGrid>
        <w:gridCol w:w="559"/>
        <w:gridCol w:w="2335"/>
        <w:gridCol w:w="5408"/>
      </w:tblGrid>
      <w:tr w:rsidR="00B2169D" w14:paraId="1367FE88" w14:textId="77777777" w:rsidTr="00AF6AFE">
        <w:trPr>
          <w:tblHeader/>
        </w:trPr>
        <w:tc>
          <w:tcPr>
            <w:tcW w:w="559" w:type="dxa"/>
            <w:shd w:val="clear" w:color="auto" w:fill="A6A6A6"/>
          </w:tcPr>
          <w:p w14:paraId="172EA66E" w14:textId="77777777" w:rsidR="00B2169D" w:rsidRDefault="00B2169D" w:rsidP="00D220B2">
            <w:pPr>
              <w:pStyle w:val="NoSpacing"/>
              <w:jc w:val="center"/>
            </w:pPr>
            <w:r>
              <w:t>No.</w:t>
            </w:r>
          </w:p>
        </w:tc>
        <w:tc>
          <w:tcPr>
            <w:tcW w:w="2335" w:type="dxa"/>
            <w:tcBorders>
              <w:bottom w:val="single" w:sz="4" w:space="0" w:color="auto"/>
            </w:tcBorders>
            <w:shd w:val="clear" w:color="auto" w:fill="A6A6A6"/>
          </w:tcPr>
          <w:p w14:paraId="73B3811B" w14:textId="77777777" w:rsidR="00B2169D" w:rsidRDefault="00B2169D" w:rsidP="00D220B2">
            <w:pPr>
              <w:pStyle w:val="NoSpacing"/>
              <w:jc w:val="center"/>
            </w:pPr>
            <w:r>
              <w:t>Work Category</w:t>
            </w:r>
          </w:p>
        </w:tc>
        <w:tc>
          <w:tcPr>
            <w:tcW w:w="5408" w:type="dxa"/>
            <w:tcBorders>
              <w:bottom w:val="single" w:sz="4" w:space="0" w:color="auto"/>
            </w:tcBorders>
            <w:shd w:val="clear" w:color="auto" w:fill="A6A6A6"/>
          </w:tcPr>
          <w:p w14:paraId="486CDD06" w14:textId="77777777" w:rsidR="00B2169D" w:rsidRDefault="00B2169D" w:rsidP="00D220B2">
            <w:pPr>
              <w:pStyle w:val="NoSpacing"/>
              <w:jc w:val="center"/>
            </w:pPr>
            <w:r>
              <w:t>Description</w:t>
            </w:r>
          </w:p>
        </w:tc>
      </w:tr>
      <w:tr w:rsidR="00B2169D" w14:paraId="66656A1B" w14:textId="77777777" w:rsidTr="00AF6AFE">
        <w:tc>
          <w:tcPr>
            <w:tcW w:w="8302" w:type="dxa"/>
            <w:gridSpan w:val="3"/>
          </w:tcPr>
          <w:p w14:paraId="179C6899" w14:textId="77777777" w:rsidR="00B2169D" w:rsidRPr="00B2169D" w:rsidRDefault="00B2169D" w:rsidP="00D220B2">
            <w:pPr>
              <w:pStyle w:val="NoSpacing"/>
              <w:jc w:val="center"/>
              <w:rPr>
                <w:color w:val="FFFFFF"/>
              </w:rPr>
            </w:pPr>
            <w:r w:rsidRPr="00B2169D">
              <w:rPr>
                <w:color w:val="FFFFFF"/>
              </w:rPr>
              <w:t>Construction works</w:t>
            </w:r>
          </w:p>
        </w:tc>
      </w:tr>
      <w:tr w:rsidR="00B2169D" w14:paraId="4F2EE495" w14:textId="77777777" w:rsidTr="00AF6AFE">
        <w:tc>
          <w:tcPr>
            <w:tcW w:w="559" w:type="dxa"/>
          </w:tcPr>
          <w:p w14:paraId="5BA4744F" w14:textId="77777777" w:rsidR="00B2169D" w:rsidRDefault="00B2169D" w:rsidP="00D220B2">
            <w:pPr>
              <w:pStyle w:val="NoSpacing"/>
              <w:jc w:val="right"/>
            </w:pPr>
            <w:r>
              <w:t>1</w:t>
            </w:r>
          </w:p>
        </w:tc>
        <w:tc>
          <w:tcPr>
            <w:tcW w:w="2335" w:type="dxa"/>
          </w:tcPr>
          <w:p w14:paraId="4F0EE71F" w14:textId="77777777" w:rsidR="00B2169D" w:rsidRPr="00074CB3" w:rsidRDefault="00B2169D" w:rsidP="00D220B2">
            <w:pPr>
              <w:pStyle w:val="NoSpacing"/>
              <w:rPr>
                <w:sz w:val="20"/>
                <w:szCs w:val="20"/>
              </w:rPr>
            </w:pPr>
            <w:r w:rsidRPr="00074CB3">
              <w:rPr>
                <w:sz w:val="20"/>
                <w:szCs w:val="20"/>
              </w:rPr>
              <w:t>Building Works (Mult</w:t>
            </w:r>
            <w:r>
              <w:rPr>
                <w:sz w:val="20"/>
                <w:szCs w:val="20"/>
              </w:rPr>
              <w:t>i-trade)</w:t>
            </w:r>
          </w:p>
        </w:tc>
        <w:tc>
          <w:tcPr>
            <w:tcW w:w="5408" w:type="dxa"/>
          </w:tcPr>
          <w:p w14:paraId="09C563BC" w14:textId="77777777" w:rsidR="00B2169D" w:rsidRPr="00E27964" w:rsidRDefault="00B2169D" w:rsidP="00D220B2">
            <w:pPr>
              <w:pStyle w:val="NoSpacing"/>
              <w:rPr>
                <w:sz w:val="20"/>
                <w:szCs w:val="20"/>
              </w:rPr>
            </w:pPr>
            <w:r w:rsidRPr="00E27964">
              <w:rPr>
                <w:sz w:val="20"/>
                <w:szCs w:val="20"/>
              </w:rPr>
              <w:t xml:space="preserve">Maintenance, small extension and repair of building work requiring more than one trade. </w:t>
            </w:r>
          </w:p>
          <w:p w14:paraId="748FE41B" w14:textId="77777777" w:rsidR="00B2169D" w:rsidRPr="00074CB3" w:rsidRDefault="00B2169D" w:rsidP="00E560D1">
            <w:pPr>
              <w:pStyle w:val="NoSpacing"/>
              <w:rPr>
                <w:sz w:val="20"/>
                <w:szCs w:val="20"/>
              </w:rPr>
            </w:pPr>
            <w:r w:rsidRPr="00E27964">
              <w:rPr>
                <w:sz w:val="20"/>
                <w:szCs w:val="20"/>
              </w:rPr>
              <w:t>Major extension/alteration to existing building and/or construction of new building requiring knowledge and experience of all building trades. The Head Contractor on the site engaging and managing all trades</w:t>
            </w:r>
            <w:r w:rsidR="00E560D1">
              <w:rPr>
                <w:sz w:val="20"/>
                <w:szCs w:val="20"/>
              </w:rPr>
              <w:t xml:space="preserve"> and subcontractors.</w:t>
            </w:r>
          </w:p>
        </w:tc>
      </w:tr>
      <w:tr w:rsidR="00B2169D" w14:paraId="7FEDB7A7" w14:textId="77777777" w:rsidTr="00AF6AFE">
        <w:tc>
          <w:tcPr>
            <w:tcW w:w="559" w:type="dxa"/>
          </w:tcPr>
          <w:p w14:paraId="5503FCDF" w14:textId="77777777" w:rsidR="00B2169D" w:rsidRDefault="00B2169D" w:rsidP="00D220B2">
            <w:pPr>
              <w:pStyle w:val="NoSpacing"/>
              <w:jc w:val="right"/>
            </w:pPr>
            <w:r>
              <w:t>2</w:t>
            </w:r>
          </w:p>
        </w:tc>
        <w:tc>
          <w:tcPr>
            <w:tcW w:w="2335" w:type="dxa"/>
          </w:tcPr>
          <w:p w14:paraId="1508E190" w14:textId="77777777" w:rsidR="00B2169D" w:rsidRPr="00074CB3" w:rsidRDefault="00B2169D" w:rsidP="00D220B2">
            <w:pPr>
              <w:pStyle w:val="NoSpacing"/>
              <w:rPr>
                <w:sz w:val="20"/>
                <w:szCs w:val="20"/>
              </w:rPr>
            </w:pPr>
            <w:r>
              <w:rPr>
                <w:sz w:val="20"/>
                <w:szCs w:val="20"/>
              </w:rPr>
              <w:t>Building Heritage Restoration</w:t>
            </w:r>
          </w:p>
        </w:tc>
        <w:tc>
          <w:tcPr>
            <w:tcW w:w="5408" w:type="dxa"/>
          </w:tcPr>
          <w:p w14:paraId="10C21008" w14:textId="77777777" w:rsidR="00B2169D" w:rsidRPr="00074CB3" w:rsidRDefault="00B2169D" w:rsidP="00D220B2">
            <w:pPr>
              <w:pStyle w:val="NoSpacing"/>
              <w:rPr>
                <w:sz w:val="20"/>
                <w:szCs w:val="20"/>
              </w:rPr>
            </w:pPr>
            <w:r w:rsidRPr="00E27964">
              <w:rPr>
                <w:sz w:val="20"/>
                <w:szCs w:val="20"/>
              </w:rPr>
              <w:t xml:space="preserve">Restore/refurbish various building fabrics including - carpentry, detail joinery and cabinet making, slate or copper roofing, lead work repairs, stonework repairs or repointing, </w:t>
            </w:r>
            <w:proofErr w:type="spellStart"/>
            <w:r w:rsidRPr="00E27964">
              <w:rPr>
                <w:sz w:val="20"/>
                <w:szCs w:val="20"/>
              </w:rPr>
              <w:t>french</w:t>
            </w:r>
            <w:proofErr w:type="spellEnd"/>
            <w:r w:rsidRPr="00E27964">
              <w:rPr>
                <w:sz w:val="20"/>
                <w:szCs w:val="20"/>
              </w:rPr>
              <w:t xml:space="preserve"> polishing, lead paint removal, specialist colour matching and painting skills</w:t>
            </w:r>
            <w:r w:rsidR="00E560D1">
              <w:rPr>
                <w:sz w:val="20"/>
                <w:szCs w:val="20"/>
              </w:rPr>
              <w:t>.</w:t>
            </w:r>
          </w:p>
        </w:tc>
      </w:tr>
      <w:tr w:rsidR="00B2169D" w14:paraId="41FC59DF" w14:textId="77777777" w:rsidTr="00AF6AFE">
        <w:tc>
          <w:tcPr>
            <w:tcW w:w="559" w:type="dxa"/>
          </w:tcPr>
          <w:p w14:paraId="5DAB7D13" w14:textId="77777777" w:rsidR="00B2169D" w:rsidRDefault="00B2169D" w:rsidP="00D220B2">
            <w:pPr>
              <w:pStyle w:val="NoSpacing"/>
              <w:jc w:val="right"/>
            </w:pPr>
            <w:r>
              <w:t>3</w:t>
            </w:r>
          </w:p>
        </w:tc>
        <w:tc>
          <w:tcPr>
            <w:tcW w:w="2335" w:type="dxa"/>
          </w:tcPr>
          <w:p w14:paraId="16EA220A" w14:textId="77777777" w:rsidR="00B2169D" w:rsidRPr="00074CB3" w:rsidRDefault="00B2169D" w:rsidP="00D220B2">
            <w:pPr>
              <w:pStyle w:val="NoSpacing"/>
              <w:rPr>
                <w:sz w:val="20"/>
                <w:szCs w:val="20"/>
              </w:rPr>
            </w:pPr>
            <w:r>
              <w:rPr>
                <w:sz w:val="20"/>
                <w:szCs w:val="20"/>
              </w:rPr>
              <w:t>Interior Fit Out (Refurbishment) including Ceiling &amp; Partitions</w:t>
            </w:r>
          </w:p>
        </w:tc>
        <w:tc>
          <w:tcPr>
            <w:tcW w:w="5408" w:type="dxa"/>
          </w:tcPr>
          <w:p w14:paraId="2F288ED5" w14:textId="77777777" w:rsidR="00B2169D" w:rsidRPr="00074CB3" w:rsidRDefault="00B2169D" w:rsidP="00E560D1">
            <w:pPr>
              <w:pStyle w:val="NoSpacing"/>
              <w:rPr>
                <w:sz w:val="20"/>
                <w:szCs w:val="20"/>
              </w:rPr>
            </w:pPr>
            <w:r w:rsidRPr="00E27964">
              <w:rPr>
                <w:sz w:val="20"/>
                <w:szCs w:val="20"/>
              </w:rPr>
              <w:t>Refurbishing and</w:t>
            </w:r>
            <w:r>
              <w:rPr>
                <w:sz w:val="20"/>
                <w:szCs w:val="20"/>
              </w:rPr>
              <w:t>/</w:t>
            </w:r>
            <w:r w:rsidRPr="00E27964">
              <w:rPr>
                <w:sz w:val="20"/>
                <w:szCs w:val="20"/>
              </w:rPr>
              <w:t xml:space="preserve">or construction of new internal office </w:t>
            </w:r>
            <w:proofErr w:type="spellStart"/>
            <w:r w:rsidRPr="00E27964">
              <w:rPr>
                <w:sz w:val="20"/>
                <w:szCs w:val="20"/>
              </w:rPr>
              <w:t>fitout</w:t>
            </w:r>
            <w:proofErr w:type="spellEnd"/>
            <w:r w:rsidRPr="00E27964">
              <w:rPr>
                <w:sz w:val="20"/>
                <w:szCs w:val="20"/>
              </w:rPr>
              <w:t xml:space="preserve"> including partition, joinery, suspended ceiling systems, carpet, electrical and mechanical work. The Head Contractor on the site engaging and managing all trades</w:t>
            </w:r>
            <w:r w:rsidR="00E560D1">
              <w:rPr>
                <w:sz w:val="20"/>
                <w:szCs w:val="20"/>
              </w:rPr>
              <w:t xml:space="preserve"> and subcontractors.</w:t>
            </w:r>
          </w:p>
        </w:tc>
      </w:tr>
      <w:tr w:rsidR="00B2169D" w14:paraId="53BF2AC6" w14:textId="77777777" w:rsidTr="00AF6AFE">
        <w:tc>
          <w:tcPr>
            <w:tcW w:w="559" w:type="dxa"/>
          </w:tcPr>
          <w:p w14:paraId="09108759" w14:textId="77777777" w:rsidR="00B2169D" w:rsidRDefault="00B2169D" w:rsidP="00D220B2">
            <w:pPr>
              <w:pStyle w:val="NoSpacing"/>
              <w:jc w:val="right"/>
            </w:pPr>
            <w:r>
              <w:t>4</w:t>
            </w:r>
          </w:p>
        </w:tc>
        <w:tc>
          <w:tcPr>
            <w:tcW w:w="2335" w:type="dxa"/>
          </w:tcPr>
          <w:p w14:paraId="5A2511CF" w14:textId="77777777" w:rsidR="00B2169D" w:rsidRPr="00074CB3" w:rsidRDefault="00B2169D" w:rsidP="00D220B2">
            <w:pPr>
              <w:pStyle w:val="NoSpacing"/>
              <w:rPr>
                <w:sz w:val="20"/>
                <w:szCs w:val="20"/>
              </w:rPr>
            </w:pPr>
            <w:r>
              <w:rPr>
                <w:sz w:val="20"/>
                <w:szCs w:val="20"/>
              </w:rPr>
              <w:t>Building Remediation Works</w:t>
            </w:r>
          </w:p>
        </w:tc>
        <w:tc>
          <w:tcPr>
            <w:tcW w:w="5408" w:type="dxa"/>
          </w:tcPr>
          <w:p w14:paraId="5B29200B" w14:textId="77777777" w:rsidR="00B2169D" w:rsidRPr="00074CB3" w:rsidRDefault="00B2169D" w:rsidP="00E560D1">
            <w:pPr>
              <w:pStyle w:val="NoSpacing"/>
              <w:rPr>
                <w:sz w:val="20"/>
                <w:szCs w:val="20"/>
              </w:rPr>
            </w:pPr>
            <w:r w:rsidRPr="00E27964">
              <w:rPr>
                <w:sz w:val="20"/>
                <w:szCs w:val="20"/>
              </w:rPr>
              <w:t>Fixing fire damaged works to existing buildings including structural repairs and mechanical matters. Supply and fix incomplete</w:t>
            </w:r>
            <w:r>
              <w:rPr>
                <w:sz w:val="20"/>
                <w:szCs w:val="20"/>
              </w:rPr>
              <w:t>/</w:t>
            </w:r>
            <w:r w:rsidRPr="00E27964">
              <w:rPr>
                <w:sz w:val="20"/>
                <w:szCs w:val="20"/>
              </w:rPr>
              <w:t xml:space="preserve">left over building works by </w:t>
            </w:r>
            <w:r>
              <w:rPr>
                <w:sz w:val="20"/>
                <w:szCs w:val="20"/>
              </w:rPr>
              <w:t>for example</w:t>
            </w:r>
            <w:r w:rsidRPr="00E27964">
              <w:rPr>
                <w:sz w:val="20"/>
                <w:szCs w:val="20"/>
              </w:rPr>
              <w:t xml:space="preserve"> builders in liquidation.  Building works may include fixing internal partitions, doors, ceiling, kitchen cabinets, gutters, waterproofing buildings, wet area floors, and other minor building works</w:t>
            </w:r>
            <w:r w:rsidR="00E560D1">
              <w:rPr>
                <w:sz w:val="20"/>
                <w:szCs w:val="20"/>
              </w:rPr>
              <w:t>.</w:t>
            </w:r>
          </w:p>
        </w:tc>
      </w:tr>
      <w:tr w:rsidR="00B2169D" w14:paraId="22A73A49" w14:textId="77777777" w:rsidTr="00AF6AFE">
        <w:tc>
          <w:tcPr>
            <w:tcW w:w="559" w:type="dxa"/>
          </w:tcPr>
          <w:p w14:paraId="67D8D388" w14:textId="77777777" w:rsidR="00B2169D" w:rsidRDefault="00B2169D" w:rsidP="00D220B2">
            <w:pPr>
              <w:pStyle w:val="NoSpacing"/>
              <w:jc w:val="right"/>
            </w:pPr>
            <w:r>
              <w:t>5</w:t>
            </w:r>
          </w:p>
        </w:tc>
        <w:tc>
          <w:tcPr>
            <w:tcW w:w="2335" w:type="dxa"/>
          </w:tcPr>
          <w:p w14:paraId="0437EDF0" w14:textId="77777777" w:rsidR="00B2169D" w:rsidRPr="00074CB3" w:rsidRDefault="00B2169D" w:rsidP="00D220B2">
            <w:pPr>
              <w:pStyle w:val="NoSpacing"/>
              <w:rPr>
                <w:sz w:val="20"/>
                <w:szCs w:val="20"/>
              </w:rPr>
            </w:pPr>
            <w:r>
              <w:rPr>
                <w:sz w:val="20"/>
                <w:szCs w:val="20"/>
              </w:rPr>
              <w:t>Demolition</w:t>
            </w:r>
          </w:p>
        </w:tc>
        <w:tc>
          <w:tcPr>
            <w:tcW w:w="5408" w:type="dxa"/>
          </w:tcPr>
          <w:p w14:paraId="70AFC862" w14:textId="77777777" w:rsidR="00B2169D" w:rsidRPr="00780CB8" w:rsidRDefault="00B2169D" w:rsidP="00E560D1">
            <w:pPr>
              <w:pStyle w:val="NoSpacing"/>
              <w:rPr>
                <w:sz w:val="20"/>
                <w:szCs w:val="20"/>
              </w:rPr>
            </w:pPr>
            <w:r w:rsidRPr="00780CB8">
              <w:rPr>
                <w:sz w:val="20"/>
                <w:szCs w:val="20"/>
              </w:rPr>
              <w:t>Total or partial demolition of buildings/structures involving manual demolition and/or the use of machinery inclusive of capping and/or termination of services. Removal of hazardous materials (not including asbestos). Must hold either DE 1 or DE 2 Demolition License</w:t>
            </w:r>
            <w:r w:rsidR="00E560D1">
              <w:rPr>
                <w:sz w:val="20"/>
                <w:szCs w:val="20"/>
              </w:rPr>
              <w:t>.</w:t>
            </w:r>
            <w:r w:rsidRPr="00780CB8">
              <w:rPr>
                <w:sz w:val="20"/>
                <w:szCs w:val="20"/>
              </w:rPr>
              <w:t xml:space="preserve">  </w:t>
            </w:r>
          </w:p>
        </w:tc>
      </w:tr>
      <w:tr w:rsidR="00B2169D" w14:paraId="3FC7B8B2" w14:textId="77777777" w:rsidTr="00AF6AFE">
        <w:tc>
          <w:tcPr>
            <w:tcW w:w="559" w:type="dxa"/>
          </w:tcPr>
          <w:p w14:paraId="0473BE8B" w14:textId="77777777" w:rsidR="00B2169D" w:rsidRDefault="00B2169D" w:rsidP="00D220B2">
            <w:pPr>
              <w:pStyle w:val="NoSpacing"/>
              <w:jc w:val="right"/>
            </w:pPr>
            <w:r>
              <w:t>6</w:t>
            </w:r>
          </w:p>
        </w:tc>
        <w:tc>
          <w:tcPr>
            <w:tcW w:w="2335" w:type="dxa"/>
            <w:tcBorders>
              <w:bottom w:val="single" w:sz="4" w:space="0" w:color="auto"/>
            </w:tcBorders>
          </w:tcPr>
          <w:p w14:paraId="67617A90" w14:textId="77777777" w:rsidR="00B2169D" w:rsidRPr="00074CB3" w:rsidRDefault="00B2169D" w:rsidP="00D220B2">
            <w:pPr>
              <w:pStyle w:val="NoSpacing"/>
              <w:rPr>
                <w:sz w:val="20"/>
                <w:szCs w:val="20"/>
              </w:rPr>
            </w:pPr>
            <w:r>
              <w:rPr>
                <w:sz w:val="20"/>
                <w:szCs w:val="20"/>
              </w:rPr>
              <w:t>Civil Works</w:t>
            </w:r>
          </w:p>
        </w:tc>
        <w:tc>
          <w:tcPr>
            <w:tcW w:w="5408" w:type="dxa"/>
            <w:tcBorders>
              <w:bottom w:val="single" w:sz="4" w:space="0" w:color="auto"/>
            </w:tcBorders>
          </w:tcPr>
          <w:p w14:paraId="21A7DCA0" w14:textId="77777777" w:rsidR="00B2169D" w:rsidRPr="00074CB3" w:rsidRDefault="00B2169D" w:rsidP="00D220B2">
            <w:pPr>
              <w:pStyle w:val="NoSpacing"/>
              <w:rPr>
                <w:sz w:val="20"/>
                <w:szCs w:val="20"/>
              </w:rPr>
            </w:pPr>
            <w:r w:rsidRPr="00E27964">
              <w:rPr>
                <w:sz w:val="20"/>
                <w:szCs w:val="20"/>
              </w:rPr>
              <w:t>Construction of minor and major civil engineering works comprising bulk earthwork, excavation, compaction, road work, car parks, pipe laying with or without shoring and dewatering, small water and sewerage treatment plants, marinas, pontoons, major hard landscaping and some soft landscaping</w:t>
            </w:r>
            <w:r w:rsidR="00E560D1">
              <w:rPr>
                <w:sz w:val="20"/>
                <w:szCs w:val="20"/>
              </w:rPr>
              <w:t xml:space="preserve">. </w:t>
            </w:r>
            <w:r w:rsidR="00E560D1" w:rsidRPr="00E27964">
              <w:rPr>
                <w:sz w:val="20"/>
                <w:szCs w:val="20"/>
              </w:rPr>
              <w:t>The Head Contractor on the site engaging and managing all trades</w:t>
            </w:r>
            <w:r w:rsidR="00E560D1">
              <w:rPr>
                <w:sz w:val="20"/>
                <w:szCs w:val="20"/>
              </w:rPr>
              <w:t xml:space="preserve"> and subcontractors.</w:t>
            </w:r>
          </w:p>
        </w:tc>
      </w:tr>
      <w:tr w:rsidR="00B2169D" w14:paraId="25FE816A" w14:textId="77777777" w:rsidTr="00AF6AFE">
        <w:tc>
          <w:tcPr>
            <w:tcW w:w="8302" w:type="dxa"/>
            <w:gridSpan w:val="3"/>
          </w:tcPr>
          <w:p w14:paraId="6C0564F2" w14:textId="77777777" w:rsidR="00B2169D" w:rsidRDefault="00B2169D" w:rsidP="00D220B2">
            <w:pPr>
              <w:pStyle w:val="NoSpacing"/>
              <w:jc w:val="center"/>
            </w:pPr>
            <w:r>
              <w:t>Building Services</w:t>
            </w:r>
          </w:p>
        </w:tc>
      </w:tr>
      <w:tr w:rsidR="00B2169D" w14:paraId="1EC3A863" w14:textId="77777777" w:rsidTr="00AF6AFE">
        <w:tc>
          <w:tcPr>
            <w:tcW w:w="559" w:type="dxa"/>
          </w:tcPr>
          <w:p w14:paraId="2FB78FC2" w14:textId="77777777" w:rsidR="00B2169D" w:rsidRDefault="00B2169D" w:rsidP="00D220B2">
            <w:pPr>
              <w:pStyle w:val="NoSpacing"/>
              <w:jc w:val="right"/>
            </w:pPr>
            <w:r>
              <w:t>7</w:t>
            </w:r>
          </w:p>
        </w:tc>
        <w:tc>
          <w:tcPr>
            <w:tcW w:w="2335" w:type="dxa"/>
          </w:tcPr>
          <w:p w14:paraId="3012CD8F" w14:textId="77777777" w:rsidR="00B2169D" w:rsidRPr="00074CB3" w:rsidRDefault="00B2169D" w:rsidP="00D220B2">
            <w:pPr>
              <w:pStyle w:val="NoSpacing"/>
              <w:rPr>
                <w:sz w:val="20"/>
                <w:szCs w:val="20"/>
              </w:rPr>
            </w:pPr>
            <w:r>
              <w:rPr>
                <w:sz w:val="20"/>
                <w:szCs w:val="20"/>
              </w:rPr>
              <w:t>Building Mechanical HVAC</w:t>
            </w:r>
          </w:p>
        </w:tc>
        <w:tc>
          <w:tcPr>
            <w:tcW w:w="5408" w:type="dxa"/>
          </w:tcPr>
          <w:p w14:paraId="5C64B6BF" w14:textId="77777777" w:rsidR="00B2169D" w:rsidRPr="00780CB8" w:rsidRDefault="00B2169D" w:rsidP="00E560D1">
            <w:pPr>
              <w:pStyle w:val="NoSpacing"/>
              <w:rPr>
                <w:sz w:val="20"/>
                <w:szCs w:val="20"/>
              </w:rPr>
            </w:pPr>
            <w:r w:rsidRPr="00780CB8">
              <w:rPr>
                <w:sz w:val="20"/>
                <w:szCs w:val="20"/>
              </w:rPr>
              <w:t>Construction, supply, installation, commissioning and operational maintenance of minor and major Mechanical building services, in systems such as Air conditioning, Evaporative cooling, Mechanical Ventilation, Refrigeration, Dust extraction and Boilers installations including Low, Medium and High temperature HW and steam</w:t>
            </w:r>
            <w:r w:rsidR="00E560D1">
              <w:rPr>
                <w:sz w:val="20"/>
                <w:szCs w:val="20"/>
              </w:rPr>
              <w:t>.</w:t>
            </w:r>
          </w:p>
        </w:tc>
      </w:tr>
      <w:tr w:rsidR="00B2169D" w14:paraId="51FBC2A0" w14:textId="77777777" w:rsidTr="00AF6AFE">
        <w:tc>
          <w:tcPr>
            <w:tcW w:w="559" w:type="dxa"/>
          </w:tcPr>
          <w:p w14:paraId="531FA020" w14:textId="77777777" w:rsidR="00B2169D" w:rsidRDefault="00B2169D" w:rsidP="00D220B2">
            <w:pPr>
              <w:pStyle w:val="NoSpacing"/>
              <w:jc w:val="right"/>
            </w:pPr>
            <w:r>
              <w:t>8</w:t>
            </w:r>
          </w:p>
        </w:tc>
        <w:tc>
          <w:tcPr>
            <w:tcW w:w="2335" w:type="dxa"/>
          </w:tcPr>
          <w:p w14:paraId="7F4ED45F" w14:textId="77777777" w:rsidR="00B2169D" w:rsidRPr="00074CB3" w:rsidRDefault="00B2169D" w:rsidP="00D220B2">
            <w:pPr>
              <w:pStyle w:val="NoSpacing"/>
              <w:rPr>
                <w:sz w:val="20"/>
                <w:szCs w:val="20"/>
              </w:rPr>
            </w:pPr>
            <w:r>
              <w:rPr>
                <w:sz w:val="20"/>
                <w:szCs w:val="20"/>
              </w:rPr>
              <w:t>Building Electrical</w:t>
            </w:r>
          </w:p>
        </w:tc>
        <w:tc>
          <w:tcPr>
            <w:tcW w:w="5408" w:type="dxa"/>
          </w:tcPr>
          <w:p w14:paraId="0E363E2B" w14:textId="77777777" w:rsidR="00B2169D" w:rsidRPr="00780CB8" w:rsidRDefault="00B2169D" w:rsidP="00D220B2">
            <w:pPr>
              <w:pStyle w:val="NoSpacing"/>
              <w:rPr>
                <w:sz w:val="20"/>
                <w:szCs w:val="20"/>
              </w:rPr>
            </w:pPr>
            <w:r w:rsidRPr="00780CB8">
              <w:rPr>
                <w:sz w:val="20"/>
                <w:szCs w:val="20"/>
              </w:rPr>
              <w:t xml:space="preserve">Construction, supply, installation, commissioning and operational maintenance of minor and major Electrical services in buildings including HV Installations and LV External Reticulation of cabling systems, Switchboard installation, cabling systems, internal wiring and accessories, Lighting installations, Exit and Emergency Lighting, Telephone Block cabling and </w:t>
            </w:r>
            <w:proofErr w:type="spellStart"/>
            <w:r w:rsidRPr="00780CB8">
              <w:rPr>
                <w:sz w:val="20"/>
                <w:szCs w:val="20"/>
              </w:rPr>
              <w:t>conduiting</w:t>
            </w:r>
            <w:proofErr w:type="spellEnd"/>
            <w:r w:rsidRPr="00780CB8">
              <w:rPr>
                <w:sz w:val="20"/>
                <w:szCs w:val="20"/>
              </w:rPr>
              <w:t xml:space="preserve"> for other related electrical services.</w:t>
            </w:r>
          </w:p>
        </w:tc>
      </w:tr>
      <w:tr w:rsidR="00B2169D" w14:paraId="398A36F9" w14:textId="77777777" w:rsidTr="00AF6AFE">
        <w:tc>
          <w:tcPr>
            <w:tcW w:w="559" w:type="dxa"/>
          </w:tcPr>
          <w:p w14:paraId="42664725" w14:textId="77777777" w:rsidR="00B2169D" w:rsidRDefault="00B2169D" w:rsidP="00D220B2">
            <w:pPr>
              <w:pStyle w:val="NoSpacing"/>
              <w:jc w:val="right"/>
            </w:pPr>
            <w:r>
              <w:t>9</w:t>
            </w:r>
          </w:p>
        </w:tc>
        <w:tc>
          <w:tcPr>
            <w:tcW w:w="2335" w:type="dxa"/>
          </w:tcPr>
          <w:p w14:paraId="68C43A2B" w14:textId="77777777" w:rsidR="00B2169D" w:rsidRPr="00074CB3" w:rsidRDefault="00B2169D" w:rsidP="00D220B2">
            <w:pPr>
              <w:pStyle w:val="NoSpacing"/>
              <w:rPr>
                <w:sz w:val="20"/>
                <w:szCs w:val="20"/>
              </w:rPr>
            </w:pPr>
            <w:r>
              <w:rPr>
                <w:sz w:val="20"/>
                <w:szCs w:val="20"/>
              </w:rPr>
              <w:t>Lift &amp; Escalators</w:t>
            </w:r>
          </w:p>
        </w:tc>
        <w:tc>
          <w:tcPr>
            <w:tcW w:w="5408" w:type="dxa"/>
          </w:tcPr>
          <w:p w14:paraId="4AF87AC2" w14:textId="77777777" w:rsidR="00B2169D" w:rsidRPr="00780CB8" w:rsidRDefault="00B2169D" w:rsidP="00D220B2">
            <w:pPr>
              <w:pStyle w:val="NoSpacing"/>
              <w:rPr>
                <w:sz w:val="20"/>
                <w:szCs w:val="20"/>
              </w:rPr>
            </w:pPr>
            <w:r w:rsidRPr="00780CB8">
              <w:rPr>
                <w:sz w:val="20"/>
                <w:szCs w:val="20"/>
              </w:rPr>
              <w:t xml:space="preserve">Supply, installation and making good of Lifts, Lift cars and Escalators. Works include work shop drawings, escalators, escalator machinery, lift cars, lift machinery, doors, electrical, </w:t>
            </w:r>
            <w:r w:rsidRPr="00780CB8">
              <w:rPr>
                <w:sz w:val="20"/>
                <w:szCs w:val="20"/>
              </w:rPr>
              <w:lastRenderedPageBreak/>
              <w:t>associated equipment, materials and fixings with final commissioning and end user training.</w:t>
            </w:r>
          </w:p>
        </w:tc>
      </w:tr>
      <w:tr w:rsidR="00B2169D" w14:paraId="3A5153D1" w14:textId="77777777" w:rsidTr="00AF6AFE">
        <w:tc>
          <w:tcPr>
            <w:tcW w:w="559" w:type="dxa"/>
          </w:tcPr>
          <w:p w14:paraId="066BC7C7" w14:textId="77777777" w:rsidR="00B2169D" w:rsidRDefault="00B2169D" w:rsidP="00D220B2">
            <w:pPr>
              <w:pStyle w:val="NoSpacing"/>
              <w:jc w:val="right"/>
            </w:pPr>
            <w:r>
              <w:lastRenderedPageBreak/>
              <w:t>10</w:t>
            </w:r>
          </w:p>
        </w:tc>
        <w:tc>
          <w:tcPr>
            <w:tcW w:w="2335" w:type="dxa"/>
          </w:tcPr>
          <w:p w14:paraId="6FDBBE2F" w14:textId="77777777" w:rsidR="00B2169D" w:rsidRPr="00074CB3" w:rsidRDefault="00B2169D" w:rsidP="00D220B2">
            <w:pPr>
              <w:pStyle w:val="NoSpacing"/>
              <w:rPr>
                <w:sz w:val="20"/>
                <w:szCs w:val="20"/>
              </w:rPr>
            </w:pPr>
            <w:r>
              <w:rPr>
                <w:sz w:val="20"/>
                <w:szCs w:val="20"/>
              </w:rPr>
              <w:t>Security System</w:t>
            </w:r>
          </w:p>
        </w:tc>
        <w:tc>
          <w:tcPr>
            <w:tcW w:w="5408" w:type="dxa"/>
          </w:tcPr>
          <w:p w14:paraId="5C1C074F" w14:textId="77777777" w:rsidR="00B2169D" w:rsidRPr="00780CB8" w:rsidRDefault="00B2169D" w:rsidP="00E560D1">
            <w:pPr>
              <w:pStyle w:val="NoSpacing"/>
              <w:rPr>
                <w:sz w:val="20"/>
                <w:szCs w:val="20"/>
              </w:rPr>
            </w:pPr>
            <w:r w:rsidRPr="00780CB8">
              <w:rPr>
                <w:sz w:val="20"/>
                <w:szCs w:val="20"/>
              </w:rPr>
              <w:t>Supply, installation and making good of security systems. Works include disconnection, connection, programming of existing systems, wiring - internal &amp; external, sensors and associated equipment, materials and fixings with final commissioning and end user training</w:t>
            </w:r>
            <w:r w:rsidR="00E560D1">
              <w:rPr>
                <w:sz w:val="20"/>
                <w:szCs w:val="20"/>
              </w:rPr>
              <w:t>.</w:t>
            </w:r>
          </w:p>
        </w:tc>
      </w:tr>
      <w:tr w:rsidR="00B2169D" w14:paraId="25821974" w14:textId="77777777" w:rsidTr="00AF6AFE">
        <w:tc>
          <w:tcPr>
            <w:tcW w:w="559" w:type="dxa"/>
          </w:tcPr>
          <w:p w14:paraId="5D0944E7" w14:textId="77777777" w:rsidR="00B2169D" w:rsidRDefault="00B2169D" w:rsidP="00D220B2">
            <w:pPr>
              <w:pStyle w:val="NoSpacing"/>
              <w:jc w:val="right"/>
            </w:pPr>
            <w:r>
              <w:t>11</w:t>
            </w:r>
          </w:p>
        </w:tc>
        <w:tc>
          <w:tcPr>
            <w:tcW w:w="2335" w:type="dxa"/>
          </w:tcPr>
          <w:p w14:paraId="47A532CD" w14:textId="77777777" w:rsidR="00B2169D" w:rsidRPr="00074CB3" w:rsidRDefault="00B2169D" w:rsidP="00D220B2">
            <w:pPr>
              <w:pStyle w:val="NoSpacing"/>
              <w:rPr>
                <w:sz w:val="20"/>
                <w:szCs w:val="20"/>
              </w:rPr>
            </w:pPr>
            <w:r>
              <w:rPr>
                <w:sz w:val="20"/>
                <w:szCs w:val="20"/>
              </w:rPr>
              <w:t xml:space="preserve">Hydraulic Services </w:t>
            </w:r>
            <w:r w:rsidRPr="00981B86">
              <w:rPr>
                <w:sz w:val="20"/>
                <w:szCs w:val="20"/>
              </w:rPr>
              <w:t>(Plumbing)</w:t>
            </w:r>
            <w:r>
              <w:rPr>
                <w:sz w:val="20"/>
                <w:szCs w:val="20"/>
              </w:rPr>
              <w:t xml:space="preserve"> and Fire Sprinklers</w:t>
            </w:r>
          </w:p>
        </w:tc>
        <w:tc>
          <w:tcPr>
            <w:tcW w:w="5408" w:type="dxa"/>
          </w:tcPr>
          <w:p w14:paraId="279AB6FE" w14:textId="77777777" w:rsidR="00B2169D" w:rsidRDefault="00B2169D" w:rsidP="00D220B2">
            <w:pPr>
              <w:pStyle w:val="NoSpacing"/>
              <w:rPr>
                <w:sz w:val="20"/>
                <w:szCs w:val="20"/>
              </w:rPr>
            </w:pPr>
            <w:r w:rsidRPr="00780CB8">
              <w:rPr>
                <w:sz w:val="20"/>
                <w:szCs w:val="20"/>
              </w:rPr>
              <w:t>Supply and Installation of pipe work for all aspects of potable water, sewerage, fire, gas, drainage, storm water and fire systems inside and outside of the building fabric. Works range from minor to major contracts.</w:t>
            </w:r>
          </w:p>
          <w:p w14:paraId="756B03EA" w14:textId="77777777" w:rsidR="00B2169D" w:rsidRPr="00780CB8" w:rsidRDefault="00B2169D" w:rsidP="00E560D1">
            <w:pPr>
              <w:pStyle w:val="NoSpacing"/>
              <w:rPr>
                <w:sz w:val="20"/>
                <w:szCs w:val="20"/>
              </w:rPr>
            </w:pPr>
            <w:r w:rsidRPr="00780CB8">
              <w:rPr>
                <w:sz w:val="20"/>
                <w:szCs w:val="20"/>
              </w:rPr>
              <w:t>Supply and installation, delivery, testing, commissioning, quality assurance and certification of pipe work, fittings and controls, for all aspects of fire systems services, both inside and outside of the building fabric. Works range from minor to major contracts</w:t>
            </w:r>
            <w:r w:rsidR="00E560D1">
              <w:rPr>
                <w:sz w:val="20"/>
                <w:szCs w:val="20"/>
              </w:rPr>
              <w:t>.</w:t>
            </w:r>
          </w:p>
        </w:tc>
      </w:tr>
      <w:tr w:rsidR="00B2169D" w14:paraId="12D6408E" w14:textId="77777777" w:rsidTr="00AF6AFE">
        <w:tc>
          <w:tcPr>
            <w:tcW w:w="8302" w:type="dxa"/>
            <w:gridSpan w:val="3"/>
          </w:tcPr>
          <w:p w14:paraId="0B172AEB" w14:textId="77777777" w:rsidR="00B2169D" w:rsidRDefault="00B2169D" w:rsidP="00D220B2">
            <w:pPr>
              <w:pStyle w:val="NoSpacing"/>
              <w:jc w:val="center"/>
            </w:pPr>
            <w:r>
              <w:t>Trades</w:t>
            </w:r>
          </w:p>
        </w:tc>
      </w:tr>
      <w:tr w:rsidR="00B2169D" w14:paraId="5C177CE7" w14:textId="77777777" w:rsidTr="00AF6AFE">
        <w:tc>
          <w:tcPr>
            <w:tcW w:w="559" w:type="dxa"/>
          </w:tcPr>
          <w:p w14:paraId="4077507E" w14:textId="77777777" w:rsidR="00B2169D" w:rsidRDefault="00B2169D" w:rsidP="00D220B2">
            <w:pPr>
              <w:pStyle w:val="NoSpacing"/>
              <w:jc w:val="right"/>
            </w:pPr>
            <w:r>
              <w:t>12</w:t>
            </w:r>
          </w:p>
        </w:tc>
        <w:tc>
          <w:tcPr>
            <w:tcW w:w="2335" w:type="dxa"/>
          </w:tcPr>
          <w:p w14:paraId="3C57C17F" w14:textId="77777777" w:rsidR="00B2169D" w:rsidRPr="00074CB3" w:rsidRDefault="00B2169D" w:rsidP="00D220B2">
            <w:pPr>
              <w:pStyle w:val="NoSpacing"/>
              <w:rPr>
                <w:sz w:val="20"/>
                <w:szCs w:val="20"/>
              </w:rPr>
            </w:pPr>
            <w:r>
              <w:rPr>
                <w:sz w:val="20"/>
                <w:szCs w:val="20"/>
              </w:rPr>
              <w:t>Painting</w:t>
            </w:r>
          </w:p>
        </w:tc>
        <w:tc>
          <w:tcPr>
            <w:tcW w:w="5408" w:type="dxa"/>
          </w:tcPr>
          <w:p w14:paraId="0DA7092B" w14:textId="77777777" w:rsidR="00B2169D" w:rsidRPr="00780CB8" w:rsidRDefault="00B2169D" w:rsidP="00E560D1">
            <w:pPr>
              <w:pStyle w:val="NoSpacing"/>
              <w:rPr>
                <w:sz w:val="20"/>
                <w:szCs w:val="20"/>
              </w:rPr>
            </w:pPr>
            <w:r w:rsidRPr="00780CB8">
              <w:rPr>
                <w:sz w:val="20"/>
                <w:szCs w:val="20"/>
              </w:rPr>
              <w:t>Surface preparation and application of protective coatings and paint to all types of surfaces internal and external. Works range from minor to major contracts</w:t>
            </w:r>
            <w:r w:rsidR="00E560D1">
              <w:rPr>
                <w:sz w:val="20"/>
                <w:szCs w:val="20"/>
              </w:rPr>
              <w:t>.</w:t>
            </w:r>
          </w:p>
        </w:tc>
      </w:tr>
      <w:tr w:rsidR="00B2169D" w14:paraId="627525B9" w14:textId="77777777" w:rsidTr="00AF6AFE">
        <w:tc>
          <w:tcPr>
            <w:tcW w:w="559" w:type="dxa"/>
          </w:tcPr>
          <w:p w14:paraId="0C1F924C" w14:textId="77777777" w:rsidR="00B2169D" w:rsidRDefault="00B2169D" w:rsidP="00D220B2">
            <w:pPr>
              <w:pStyle w:val="NoSpacing"/>
              <w:jc w:val="right"/>
            </w:pPr>
            <w:r>
              <w:t>13</w:t>
            </w:r>
          </w:p>
        </w:tc>
        <w:tc>
          <w:tcPr>
            <w:tcW w:w="2335" w:type="dxa"/>
          </w:tcPr>
          <w:p w14:paraId="323C220F" w14:textId="77777777" w:rsidR="00B2169D" w:rsidRPr="00074CB3" w:rsidRDefault="00B2169D" w:rsidP="00D220B2">
            <w:pPr>
              <w:pStyle w:val="NoSpacing"/>
              <w:rPr>
                <w:sz w:val="20"/>
                <w:szCs w:val="20"/>
              </w:rPr>
            </w:pPr>
            <w:r>
              <w:rPr>
                <w:sz w:val="20"/>
                <w:szCs w:val="20"/>
              </w:rPr>
              <w:t>Bricklaying</w:t>
            </w:r>
          </w:p>
        </w:tc>
        <w:tc>
          <w:tcPr>
            <w:tcW w:w="5408" w:type="dxa"/>
          </w:tcPr>
          <w:p w14:paraId="47F378FC" w14:textId="77777777" w:rsidR="00B2169D" w:rsidRPr="00780CB8" w:rsidRDefault="00B2169D" w:rsidP="00E560D1">
            <w:pPr>
              <w:pStyle w:val="NoSpacing"/>
              <w:rPr>
                <w:sz w:val="20"/>
                <w:szCs w:val="20"/>
              </w:rPr>
            </w:pPr>
            <w:r w:rsidRPr="00780CB8">
              <w:rPr>
                <w:sz w:val="20"/>
                <w:szCs w:val="20"/>
              </w:rPr>
              <w:t>Supply, installation and making good of flashings, ties, lintels, brickwork and associated materials. Works to be carried on internal and external of new and existing buildings. Scaffolding supply generally included in description</w:t>
            </w:r>
            <w:r w:rsidR="00E560D1">
              <w:rPr>
                <w:sz w:val="20"/>
                <w:szCs w:val="20"/>
              </w:rPr>
              <w:t>.</w:t>
            </w:r>
          </w:p>
        </w:tc>
      </w:tr>
      <w:tr w:rsidR="00B2169D" w14:paraId="670FE566" w14:textId="77777777" w:rsidTr="00AF6AFE">
        <w:tc>
          <w:tcPr>
            <w:tcW w:w="559" w:type="dxa"/>
          </w:tcPr>
          <w:p w14:paraId="433523AA" w14:textId="77777777" w:rsidR="00B2169D" w:rsidRDefault="00B2169D" w:rsidP="00D220B2">
            <w:pPr>
              <w:pStyle w:val="NoSpacing"/>
              <w:jc w:val="right"/>
            </w:pPr>
            <w:r>
              <w:t>14</w:t>
            </w:r>
          </w:p>
        </w:tc>
        <w:tc>
          <w:tcPr>
            <w:tcW w:w="2335" w:type="dxa"/>
          </w:tcPr>
          <w:p w14:paraId="68A61B74" w14:textId="77777777" w:rsidR="00B2169D" w:rsidRPr="00074CB3" w:rsidRDefault="00B2169D" w:rsidP="00D220B2">
            <w:pPr>
              <w:pStyle w:val="NoSpacing"/>
              <w:rPr>
                <w:sz w:val="20"/>
                <w:szCs w:val="20"/>
              </w:rPr>
            </w:pPr>
            <w:r>
              <w:rPr>
                <w:sz w:val="20"/>
                <w:szCs w:val="20"/>
              </w:rPr>
              <w:t>Concreting</w:t>
            </w:r>
          </w:p>
        </w:tc>
        <w:tc>
          <w:tcPr>
            <w:tcW w:w="5408" w:type="dxa"/>
          </w:tcPr>
          <w:p w14:paraId="47782428" w14:textId="77777777" w:rsidR="00B2169D" w:rsidRPr="00780CB8" w:rsidRDefault="00B2169D" w:rsidP="00664CC7">
            <w:pPr>
              <w:pStyle w:val="NoSpacing"/>
              <w:rPr>
                <w:sz w:val="20"/>
                <w:szCs w:val="20"/>
              </w:rPr>
            </w:pPr>
            <w:r w:rsidRPr="00780CB8">
              <w:rPr>
                <w:sz w:val="20"/>
                <w:szCs w:val="20"/>
              </w:rPr>
              <w:t xml:space="preserve">Supply and installation of concrete fabric such as slabs (raft, suspended, composite), footings, columns, walls paths and driveways, including preparation of surfaces. </w:t>
            </w:r>
            <w:proofErr w:type="spellStart"/>
            <w:r w:rsidRPr="00780CB8">
              <w:rPr>
                <w:sz w:val="20"/>
                <w:szCs w:val="20"/>
              </w:rPr>
              <w:t>ie</w:t>
            </w:r>
            <w:proofErr w:type="spellEnd"/>
            <w:r w:rsidRPr="00780CB8">
              <w:rPr>
                <w:sz w:val="20"/>
                <w:szCs w:val="20"/>
              </w:rPr>
              <w:t xml:space="preserve"> laying of plastic membrane, reinforcing mesh, formwork and checking levels</w:t>
            </w:r>
            <w:r w:rsidR="00E560D1">
              <w:rPr>
                <w:sz w:val="20"/>
                <w:szCs w:val="20"/>
              </w:rPr>
              <w:t>.</w:t>
            </w:r>
          </w:p>
        </w:tc>
      </w:tr>
      <w:tr w:rsidR="00B2169D" w14:paraId="676043F0" w14:textId="77777777" w:rsidTr="00AF6AFE">
        <w:tc>
          <w:tcPr>
            <w:tcW w:w="559" w:type="dxa"/>
          </w:tcPr>
          <w:p w14:paraId="67E07635" w14:textId="77777777" w:rsidR="00B2169D" w:rsidRDefault="00B2169D" w:rsidP="00D220B2">
            <w:pPr>
              <w:pStyle w:val="NoSpacing"/>
              <w:jc w:val="right"/>
            </w:pPr>
            <w:r>
              <w:t>15</w:t>
            </w:r>
          </w:p>
        </w:tc>
        <w:tc>
          <w:tcPr>
            <w:tcW w:w="2335" w:type="dxa"/>
          </w:tcPr>
          <w:p w14:paraId="2923CEA2" w14:textId="77777777" w:rsidR="00B2169D" w:rsidRPr="00074CB3" w:rsidRDefault="00B2169D" w:rsidP="00D220B2">
            <w:pPr>
              <w:pStyle w:val="NoSpacing"/>
              <w:rPr>
                <w:sz w:val="20"/>
                <w:szCs w:val="20"/>
              </w:rPr>
            </w:pPr>
            <w:r>
              <w:rPr>
                <w:sz w:val="20"/>
                <w:szCs w:val="20"/>
              </w:rPr>
              <w:t>Fencing</w:t>
            </w:r>
          </w:p>
        </w:tc>
        <w:tc>
          <w:tcPr>
            <w:tcW w:w="5408" w:type="dxa"/>
          </w:tcPr>
          <w:p w14:paraId="5DBAEE99" w14:textId="77777777" w:rsidR="00B2169D" w:rsidRPr="00780CB8" w:rsidRDefault="00B2169D" w:rsidP="00E560D1">
            <w:pPr>
              <w:pStyle w:val="NoSpacing"/>
              <w:rPr>
                <w:sz w:val="20"/>
                <w:szCs w:val="20"/>
              </w:rPr>
            </w:pPr>
            <w:r w:rsidRPr="00780CB8">
              <w:rPr>
                <w:sz w:val="20"/>
                <w:szCs w:val="20"/>
              </w:rPr>
              <w:t>Supply and installation of various fences, including security, safety, decorative, temporary and associated materials and fixings</w:t>
            </w:r>
            <w:r w:rsidR="00E560D1">
              <w:rPr>
                <w:sz w:val="20"/>
                <w:szCs w:val="20"/>
              </w:rPr>
              <w:t>.</w:t>
            </w:r>
          </w:p>
        </w:tc>
      </w:tr>
      <w:tr w:rsidR="00B2169D" w14:paraId="04BBBEB9" w14:textId="77777777" w:rsidTr="00AF6AFE">
        <w:tc>
          <w:tcPr>
            <w:tcW w:w="559" w:type="dxa"/>
          </w:tcPr>
          <w:p w14:paraId="731B3EA7" w14:textId="77777777" w:rsidR="00B2169D" w:rsidRDefault="00B2169D" w:rsidP="00D220B2">
            <w:pPr>
              <w:pStyle w:val="NoSpacing"/>
              <w:jc w:val="right"/>
            </w:pPr>
            <w:r>
              <w:t>16</w:t>
            </w:r>
          </w:p>
        </w:tc>
        <w:tc>
          <w:tcPr>
            <w:tcW w:w="2335" w:type="dxa"/>
          </w:tcPr>
          <w:p w14:paraId="773F7F28" w14:textId="77777777" w:rsidR="00B2169D" w:rsidRPr="00074CB3" w:rsidRDefault="00B2169D" w:rsidP="00D220B2">
            <w:pPr>
              <w:pStyle w:val="NoSpacing"/>
              <w:rPr>
                <w:sz w:val="20"/>
                <w:szCs w:val="20"/>
              </w:rPr>
            </w:pPr>
            <w:r>
              <w:rPr>
                <w:sz w:val="20"/>
                <w:szCs w:val="20"/>
              </w:rPr>
              <w:t xml:space="preserve">Carpentry and Joinery </w:t>
            </w:r>
          </w:p>
        </w:tc>
        <w:tc>
          <w:tcPr>
            <w:tcW w:w="5408" w:type="dxa"/>
          </w:tcPr>
          <w:p w14:paraId="59FE1059" w14:textId="77777777" w:rsidR="00B2169D" w:rsidRDefault="00B2169D" w:rsidP="00D220B2">
            <w:pPr>
              <w:pStyle w:val="NoSpacing"/>
              <w:rPr>
                <w:sz w:val="20"/>
                <w:szCs w:val="20"/>
              </w:rPr>
            </w:pPr>
            <w:r w:rsidRPr="00780CB8">
              <w:rPr>
                <w:sz w:val="20"/>
                <w:szCs w:val="20"/>
              </w:rPr>
              <w:t>Works to be carried on internal and external of new and existing buildings. Scaffolding supply generally included in description.</w:t>
            </w:r>
          </w:p>
          <w:p w14:paraId="02C6190D" w14:textId="77777777" w:rsidR="00B2169D" w:rsidRPr="00780CB8" w:rsidRDefault="00B2169D" w:rsidP="00E560D1">
            <w:pPr>
              <w:pStyle w:val="NoSpacing"/>
              <w:rPr>
                <w:sz w:val="20"/>
                <w:szCs w:val="20"/>
              </w:rPr>
            </w:pPr>
            <w:r w:rsidRPr="00780CB8">
              <w:rPr>
                <w:sz w:val="20"/>
                <w:szCs w:val="20"/>
              </w:rPr>
              <w:t>Supply and installation of joinery units to specified details, including skirting, architraves, cupboards, shelving, benches, doors, jambs and hardware, with shop drawings where necessary. Supply of all materials, plant tools, equipment, transport and labour as found necessary</w:t>
            </w:r>
            <w:r w:rsidR="00E560D1">
              <w:rPr>
                <w:sz w:val="20"/>
                <w:szCs w:val="20"/>
              </w:rPr>
              <w:t>.</w:t>
            </w:r>
          </w:p>
        </w:tc>
      </w:tr>
      <w:tr w:rsidR="00B2169D" w14:paraId="35F9BDDC" w14:textId="77777777" w:rsidTr="00AF6AFE">
        <w:tc>
          <w:tcPr>
            <w:tcW w:w="559" w:type="dxa"/>
            <w:tcBorders>
              <w:bottom w:val="single" w:sz="4" w:space="0" w:color="auto"/>
            </w:tcBorders>
          </w:tcPr>
          <w:p w14:paraId="31907F20" w14:textId="77777777" w:rsidR="00B2169D" w:rsidRPr="00C70DBA" w:rsidRDefault="00B2169D" w:rsidP="00D220B2">
            <w:pPr>
              <w:pStyle w:val="NoSpacing"/>
              <w:jc w:val="right"/>
            </w:pPr>
            <w:r w:rsidRPr="00C70DBA">
              <w:t>17</w:t>
            </w:r>
          </w:p>
        </w:tc>
        <w:tc>
          <w:tcPr>
            <w:tcW w:w="2335" w:type="dxa"/>
            <w:tcBorders>
              <w:bottom w:val="single" w:sz="4" w:space="0" w:color="auto"/>
            </w:tcBorders>
          </w:tcPr>
          <w:p w14:paraId="0F69B6C6" w14:textId="77777777" w:rsidR="00B2169D" w:rsidRPr="00C70DBA" w:rsidRDefault="00B2169D" w:rsidP="00D220B2">
            <w:pPr>
              <w:pStyle w:val="NoSpacing"/>
              <w:rPr>
                <w:sz w:val="20"/>
                <w:szCs w:val="20"/>
              </w:rPr>
            </w:pPr>
            <w:r w:rsidRPr="00C70DBA">
              <w:rPr>
                <w:sz w:val="20"/>
                <w:szCs w:val="20"/>
              </w:rPr>
              <w:t>Aluminium Windows &amp; Doors</w:t>
            </w:r>
          </w:p>
        </w:tc>
        <w:tc>
          <w:tcPr>
            <w:tcW w:w="5408" w:type="dxa"/>
            <w:tcBorders>
              <w:bottom w:val="single" w:sz="4" w:space="0" w:color="auto"/>
            </w:tcBorders>
          </w:tcPr>
          <w:p w14:paraId="65959172" w14:textId="77777777" w:rsidR="00B2169D" w:rsidRPr="00C70DBA" w:rsidRDefault="00B2169D" w:rsidP="00E560D1">
            <w:pPr>
              <w:pStyle w:val="NoSpacing"/>
              <w:rPr>
                <w:sz w:val="20"/>
                <w:szCs w:val="20"/>
              </w:rPr>
            </w:pPr>
            <w:r w:rsidRPr="00C70DBA">
              <w:rPr>
                <w:sz w:val="20"/>
                <w:szCs w:val="20"/>
              </w:rPr>
              <w:t>Supply, installation and making good of new and existing aluminium windows and doors. Works include work shop drawings, aluminium windows and door frames, trims, flashings and associated materials and fixings. Works range from minor to major contracts</w:t>
            </w:r>
            <w:r w:rsidR="00E560D1">
              <w:rPr>
                <w:sz w:val="20"/>
                <w:szCs w:val="20"/>
              </w:rPr>
              <w:t>.</w:t>
            </w:r>
          </w:p>
        </w:tc>
      </w:tr>
      <w:tr w:rsidR="00B2169D" w14:paraId="3ABE2FA8" w14:textId="77777777" w:rsidTr="00AF6AFE">
        <w:tc>
          <w:tcPr>
            <w:tcW w:w="559" w:type="dxa"/>
            <w:shd w:val="clear" w:color="auto" w:fill="FFFFFF" w:themeFill="background1"/>
          </w:tcPr>
          <w:p w14:paraId="48F5713F" w14:textId="77777777" w:rsidR="00B2169D" w:rsidRPr="00C70DBA" w:rsidRDefault="00B2169D" w:rsidP="00D220B2">
            <w:pPr>
              <w:pStyle w:val="NoSpacing"/>
              <w:jc w:val="right"/>
            </w:pPr>
            <w:r w:rsidRPr="00C70DBA">
              <w:t>18</w:t>
            </w:r>
          </w:p>
        </w:tc>
        <w:tc>
          <w:tcPr>
            <w:tcW w:w="2335" w:type="dxa"/>
            <w:shd w:val="clear" w:color="auto" w:fill="FFFFFF" w:themeFill="background1"/>
          </w:tcPr>
          <w:p w14:paraId="0B064CF1" w14:textId="77777777" w:rsidR="00B2169D" w:rsidRPr="00C70DBA" w:rsidRDefault="00B2169D" w:rsidP="00D220B2">
            <w:pPr>
              <w:pStyle w:val="NoSpacing"/>
              <w:rPr>
                <w:sz w:val="20"/>
                <w:szCs w:val="20"/>
              </w:rPr>
            </w:pPr>
            <w:r w:rsidRPr="00C70DBA">
              <w:rPr>
                <w:sz w:val="20"/>
                <w:szCs w:val="20"/>
              </w:rPr>
              <w:t>Roof Sheeting /Roof Plumbing</w:t>
            </w:r>
          </w:p>
        </w:tc>
        <w:tc>
          <w:tcPr>
            <w:tcW w:w="5408" w:type="dxa"/>
            <w:shd w:val="clear" w:color="auto" w:fill="FFFFFF" w:themeFill="background1"/>
          </w:tcPr>
          <w:p w14:paraId="0BC25EDE" w14:textId="25DCE498" w:rsidR="00B2169D" w:rsidRPr="00C70DBA" w:rsidRDefault="00B2169D" w:rsidP="0085716F">
            <w:pPr>
              <w:pStyle w:val="NoSpacing"/>
              <w:rPr>
                <w:sz w:val="20"/>
                <w:szCs w:val="20"/>
              </w:rPr>
            </w:pPr>
            <w:r w:rsidRPr="00C70DBA">
              <w:rPr>
                <w:sz w:val="20"/>
                <w:szCs w:val="20"/>
              </w:rPr>
              <w:t>Supply, installation and making good of new and existing ro</w:t>
            </w:r>
            <w:r w:rsidR="0085716F">
              <w:rPr>
                <w:sz w:val="20"/>
                <w:szCs w:val="20"/>
              </w:rPr>
              <w:t>of</w:t>
            </w:r>
            <w:r w:rsidRPr="00C70DBA">
              <w:rPr>
                <w:sz w:val="20"/>
                <w:szCs w:val="20"/>
              </w:rPr>
              <w:t>, awnings and covered walkways. Works include roof sheeting, flashings, guttering, down pipes, associated materials and fixings. Works range from minor to major contracts</w:t>
            </w:r>
            <w:r w:rsidR="00E560D1">
              <w:rPr>
                <w:sz w:val="20"/>
                <w:szCs w:val="20"/>
              </w:rPr>
              <w:t>.</w:t>
            </w:r>
          </w:p>
        </w:tc>
      </w:tr>
      <w:tr w:rsidR="00B2169D" w14:paraId="24B680BD" w14:textId="77777777" w:rsidTr="00AF6AFE">
        <w:tc>
          <w:tcPr>
            <w:tcW w:w="559" w:type="dxa"/>
          </w:tcPr>
          <w:p w14:paraId="2D372509" w14:textId="77777777" w:rsidR="00B2169D" w:rsidRPr="00C70DBA" w:rsidRDefault="00B2169D" w:rsidP="00D220B2">
            <w:pPr>
              <w:pStyle w:val="NoSpacing"/>
              <w:jc w:val="right"/>
            </w:pPr>
            <w:r w:rsidRPr="00C70DBA">
              <w:t>19</w:t>
            </w:r>
          </w:p>
        </w:tc>
        <w:tc>
          <w:tcPr>
            <w:tcW w:w="2335" w:type="dxa"/>
          </w:tcPr>
          <w:p w14:paraId="37949E6A" w14:textId="77777777" w:rsidR="00B2169D" w:rsidRPr="00C70DBA" w:rsidRDefault="00981B86" w:rsidP="00D220B2">
            <w:pPr>
              <w:pStyle w:val="NoSpacing"/>
              <w:rPr>
                <w:sz w:val="20"/>
                <w:szCs w:val="20"/>
              </w:rPr>
            </w:pPr>
            <w:r w:rsidRPr="00C70DBA">
              <w:rPr>
                <w:sz w:val="20"/>
                <w:szCs w:val="20"/>
              </w:rPr>
              <w:t xml:space="preserve">Metal Work and </w:t>
            </w:r>
            <w:r w:rsidR="00B2169D" w:rsidRPr="00C70DBA">
              <w:rPr>
                <w:sz w:val="20"/>
                <w:szCs w:val="20"/>
              </w:rPr>
              <w:t>Structural Steelwork</w:t>
            </w:r>
          </w:p>
        </w:tc>
        <w:tc>
          <w:tcPr>
            <w:tcW w:w="5408" w:type="dxa"/>
          </w:tcPr>
          <w:p w14:paraId="5B8E21AC" w14:textId="77777777" w:rsidR="00981B86" w:rsidRPr="00C70DBA" w:rsidRDefault="00981B86" w:rsidP="00981B86">
            <w:pPr>
              <w:pStyle w:val="NoSpacing"/>
              <w:rPr>
                <w:sz w:val="20"/>
                <w:szCs w:val="20"/>
              </w:rPr>
            </w:pPr>
            <w:r w:rsidRPr="00C70DBA">
              <w:rPr>
                <w:sz w:val="20"/>
                <w:szCs w:val="20"/>
              </w:rPr>
              <w:t>Fabrication, welding and installation of metalwork to approved shop drawings, including handrails, balustrades, louvers, bollards, grab-rails etc. supply of all materials, plant tools, equipment, transport and labour as necessary. Works range from minor to major contracts.</w:t>
            </w:r>
          </w:p>
          <w:p w14:paraId="76AEA32A" w14:textId="77777777" w:rsidR="00981B86" w:rsidRPr="00C70DBA" w:rsidRDefault="00B2169D" w:rsidP="00D220B2">
            <w:pPr>
              <w:pStyle w:val="NoSpacing"/>
              <w:rPr>
                <w:sz w:val="20"/>
                <w:szCs w:val="20"/>
              </w:rPr>
            </w:pPr>
            <w:r w:rsidRPr="00C70DBA">
              <w:rPr>
                <w:sz w:val="20"/>
                <w:szCs w:val="20"/>
              </w:rPr>
              <w:lastRenderedPageBreak/>
              <w:t>Supply, installation and making good of new and existing structural steel works. Works include work shop drawings, structural members, bracings, cleats, ties, bolts associated materials and fixings. Works range from minor to major contracts both subcontracting and as the principle contractor. Works range from minor to major contracts</w:t>
            </w:r>
            <w:r w:rsidR="00E560D1">
              <w:rPr>
                <w:sz w:val="20"/>
                <w:szCs w:val="20"/>
              </w:rPr>
              <w:t>.</w:t>
            </w:r>
          </w:p>
        </w:tc>
      </w:tr>
      <w:tr w:rsidR="00B2169D" w14:paraId="091EF18D" w14:textId="77777777" w:rsidTr="00AF6AFE">
        <w:tc>
          <w:tcPr>
            <w:tcW w:w="559" w:type="dxa"/>
          </w:tcPr>
          <w:p w14:paraId="08759D84" w14:textId="77777777" w:rsidR="00B2169D" w:rsidRPr="00C70DBA" w:rsidRDefault="00B2169D" w:rsidP="00D220B2">
            <w:pPr>
              <w:pStyle w:val="NoSpacing"/>
              <w:jc w:val="right"/>
            </w:pPr>
            <w:r w:rsidRPr="00C70DBA">
              <w:lastRenderedPageBreak/>
              <w:t>20</w:t>
            </w:r>
          </w:p>
        </w:tc>
        <w:tc>
          <w:tcPr>
            <w:tcW w:w="2335" w:type="dxa"/>
          </w:tcPr>
          <w:p w14:paraId="2328960A" w14:textId="77777777" w:rsidR="00B2169D" w:rsidRPr="00C70DBA" w:rsidRDefault="00B2169D" w:rsidP="00D220B2">
            <w:pPr>
              <w:pStyle w:val="NoSpacing"/>
              <w:rPr>
                <w:sz w:val="20"/>
                <w:szCs w:val="20"/>
              </w:rPr>
            </w:pPr>
            <w:r w:rsidRPr="00C70DBA">
              <w:rPr>
                <w:sz w:val="20"/>
                <w:szCs w:val="20"/>
              </w:rPr>
              <w:t>Landscaping</w:t>
            </w:r>
          </w:p>
        </w:tc>
        <w:tc>
          <w:tcPr>
            <w:tcW w:w="5408" w:type="dxa"/>
          </w:tcPr>
          <w:p w14:paraId="6710C33D" w14:textId="77777777" w:rsidR="00B2169D" w:rsidRPr="00C70DBA" w:rsidRDefault="00B2169D" w:rsidP="00E560D1">
            <w:pPr>
              <w:pStyle w:val="NoSpacing"/>
              <w:rPr>
                <w:sz w:val="20"/>
                <w:szCs w:val="20"/>
              </w:rPr>
            </w:pPr>
            <w:r w:rsidRPr="00C70DBA">
              <w:rPr>
                <w:sz w:val="20"/>
                <w:szCs w:val="20"/>
              </w:rPr>
              <w:t xml:space="preserve">Major soft and minor hard landscaping including minor earthworks, </w:t>
            </w:r>
            <w:proofErr w:type="spellStart"/>
            <w:r w:rsidRPr="00C70DBA">
              <w:rPr>
                <w:sz w:val="20"/>
                <w:szCs w:val="20"/>
              </w:rPr>
              <w:t>turfing</w:t>
            </w:r>
            <w:proofErr w:type="spellEnd"/>
            <w:r w:rsidRPr="00C70DBA">
              <w:rPr>
                <w:sz w:val="20"/>
                <w:szCs w:val="20"/>
              </w:rPr>
              <w:t>, mulching, planting of native, exotic plants and shrubs and bush regeneration. General fixed maintenance period required after contract completion date</w:t>
            </w:r>
            <w:r w:rsidR="00E560D1">
              <w:rPr>
                <w:sz w:val="20"/>
                <w:szCs w:val="20"/>
              </w:rPr>
              <w:t>.</w:t>
            </w:r>
          </w:p>
        </w:tc>
      </w:tr>
      <w:tr w:rsidR="00B2169D" w14:paraId="7793D249" w14:textId="77777777" w:rsidTr="00AF6AFE">
        <w:tc>
          <w:tcPr>
            <w:tcW w:w="559" w:type="dxa"/>
          </w:tcPr>
          <w:p w14:paraId="03256167" w14:textId="77777777" w:rsidR="00B2169D" w:rsidRPr="00C70DBA" w:rsidRDefault="00B2169D" w:rsidP="00D220B2">
            <w:pPr>
              <w:pStyle w:val="NoSpacing"/>
              <w:jc w:val="right"/>
            </w:pPr>
            <w:r w:rsidRPr="00C70DBA">
              <w:t>21</w:t>
            </w:r>
          </w:p>
        </w:tc>
        <w:tc>
          <w:tcPr>
            <w:tcW w:w="2335" w:type="dxa"/>
          </w:tcPr>
          <w:p w14:paraId="4C166237" w14:textId="77777777" w:rsidR="00B2169D" w:rsidRPr="00C70DBA" w:rsidRDefault="00B2169D" w:rsidP="00D220B2">
            <w:pPr>
              <w:pStyle w:val="NoSpacing"/>
              <w:rPr>
                <w:sz w:val="20"/>
                <w:szCs w:val="20"/>
              </w:rPr>
            </w:pPr>
            <w:r w:rsidRPr="00C70DBA">
              <w:rPr>
                <w:sz w:val="20"/>
                <w:szCs w:val="20"/>
              </w:rPr>
              <w:t>Tiling</w:t>
            </w:r>
          </w:p>
        </w:tc>
        <w:tc>
          <w:tcPr>
            <w:tcW w:w="5408" w:type="dxa"/>
          </w:tcPr>
          <w:p w14:paraId="11C2C1DC" w14:textId="77777777" w:rsidR="00B2169D" w:rsidRPr="00C70DBA" w:rsidRDefault="00B2169D" w:rsidP="00E560D1">
            <w:pPr>
              <w:pStyle w:val="NoSpacing"/>
              <w:rPr>
                <w:sz w:val="20"/>
                <w:szCs w:val="20"/>
              </w:rPr>
            </w:pPr>
            <w:r w:rsidRPr="00C70DBA">
              <w:rPr>
                <w:sz w:val="20"/>
                <w:szCs w:val="20"/>
              </w:rPr>
              <w:t xml:space="preserve">Set out, supply, installation and making good of new and existing </w:t>
            </w:r>
            <w:r w:rsidR="00981B86" w:rsidRPr="00C70DBA">
              <w:rPr>
                <w:sz w:val="20"/>
                <w:szCs w:val="20"/>
              </w:rPr>
              <w:t>tiling</w:t>
            </w:r>
            <w:r w:rsidRPr="00C70DBA">
              <w:rPr>
                <w:sz w:val="20"/>
                <w:szCs w:val="20"/>
              </w:rPr>
              <w:t xml:space="preserve">. </w:t>
            </w:r>
            <w:r w:rsidR="00981B86" w:rsidRPr="00C70DBA">
              <w:rPr>
                <w:sz w:val="20"/>
                <w:szCs w:val="20"/>
              </w:rPr>
              <w:t xml:space="preserve">Supply of all materials, plant, tools, equipment, transport, protection and labour as necessary. </w:t>
            </w:r>
            <w:r w:rsidRPr="00C70DBA">
              <w:rPr>
                <w:sz w:val="20"/>
                <w:szCs w:val="20"/>
              </w:rPr>
              <w:t>Works range from minor to major contracts</w:t>
            </w:r>
            <w:r w:rsidR="00E560D1">
              <w:rPr>
                <w:sz w:val="20"/>
                <w:szCs w:val="20"/>
              </w:rPr>
              <w:t>.</w:t>
            </w:r>
          </w:p>
        </w:tc>
      </w:tr>
      <w:tr w:rsidR="00B2169D" w14:paraId="4CDAB455" w14:textId="77777777" w:rsidTr="00AF6AFE">
        <w:tc>
          <w:tcPr>
            <w:tcW w:w="559" w:type="dxa"/>
          </w:tcPr>
          <w:p w14:paraId="7CF731A7" w14:textId="77777777" w:rsidR="00B2169D" w:rsidRDefault="00B2169D" w:rsidP="00D220B2">
            <w:pPr>
              <w:pStyle w:val="NoSpacing"/>
              <w:jc w:val="right"/>
            </w:pPr>
            <w:r>
              <w:t>22</w:t>
            </w:r>
          </w:p>
        </w:tc>
        <w:tc>
          <w:tcPr>
            <w:tcW w:w="2335" w:type="dxa"/>
          </w:tcPr>
          <w:p w14:paraId="3238CCAE" w14:textId="77777777" w:rsidR="00B2169D" w:rsidRPr="00074CB3" w:rsidRDefault="00B2169D" w:rsidP="00D220B2">
            <w:pPr>
              <w:pStyle w:val="NoSpacing"/>
              <w:rPr>
                <w:sz w:val="20"/>
                <w:szCs w:val="20"/>
              </w:rPr>
            </w:pPr>
            <w:r>
              <w:rPr>
                <w:sz w:val="20"/>
                <w:szCs w:val="20"/>
              </w:rPr>
              <w:t>Cement Rendering</w:t>
            </w:r>
          </w:p>
        </w:tc>
        <w:tc>
          <w:tcPr>
            <w:tcW w:w="5408" w:type="dxa"/>
          </w:tcPr>
          <w:p w14:paraId="4810F02C" w14:textId="77777777" w:rsidR="00B2169D" w:rsidRPr="00780CB8" w:rsidRDefault="00B2169D" w:rsidP="00E560D1">
            <w:pPr>
              <w:pStyle w:val="NoSpacing"/>
              <w:rPr>
                <w:sz w:val="20"/>
                <w:szCs w:val="20"/>
              </w:rPr>
            </w:pPr>
            <w:r w:rsidRPr="00780CB8">
              <w:rPr>
                <w:sz w:val="20"/>
                <w:szCs w:val="20"/>
              </w:rPr>
              <w:t>Supply of all materials, plant, tools, equipment, transport, protection and labour as necessary. Preparation of substrates. Carry out rendering including patching of existing surfaces, supply scaffolding as necessary</w:t>
            </w:r>
            <w:r w:rsidR="00E560D1">
              <w:rPr>
                <w:sz w:val="20"/>
                <w:szCs w:val="20"/>
              </w:rPr>
              <w:t>.</w:t>
            </w:r>
          </w:p>
        </w:tc>
      </w:tr>
      <w:tr w:rsidR="00B2169D" w14:paraId="26FE1D1A" w14:textId="77777777" w:rsidTr="00AF6AFE">
        <w:tc>
          <w:tcPr>
            <w:tcW w:w="559" w:type="dxa"/>
          </w:tcPr>
          <w:p w14:paraId="7D44ED61" w14:textId="77777777" w:rsidR="00B2169D" w:rsidRDefault="00B2169D" w:rsidP="00D220B2">
            <w:pPr>
              <w:pStyle w:val="NoSpacing"/>
              <w:jc w:val="right"/>
            </w:pPr>
            <w:r>
              <w:t>23</w:t>
            </w:r>
          </w:p>
        </w:tc>
        <w:tc>
          <w:tcPr>
            <w:tcW w:w="2335" w:type="dxa"/>
          </w:tcPr>
          <w:p w14:paraId="58538D89" w14:textId="77777777" w:rsidR="00B2169D" w:rsidRPr="00074CB3" w:rsidRDefault="00B2169D" w:rsidP="00D220B2">
            <w:pPr>
              <w:pStyle w:val="NoSpacing"/>
              <w:rPr>
                <w:sz w:val="20"/>
                <w:szCs w:val="20"/>
              </w:rPr>
            </w:pPr>
            <w:r>
              <w:rPr>
                <w:sz w:val="20"/>
                <w:szCs w:val="20"/>
              </w:rPr>
              <w:t>Asbestos Removal</w:t>
            </w:r>
          </w:p>
        </w:tc>
        <w:tc>
          <w:tcPr>
            <w:tcW w:w="5408" w:type="dxa"/>
          </w:tcPr>
          <w:p w14:paraId="18699ECF" w14:textId="263A725D" w:rsidR="00B2169D" w:rsidRPr="00780CB8" w:rsidRDefault="00B2169D" w:rsidP="00913AF4">
            <w:pPr>
              <w:pStyle w:val="NoSpacing"/>
              <w:rPr>
                <w:sz w:val="20"/>
                <w:szCs w:val="20"/>
              </w:rPr>
            </w:pPr>
            <w:r w:rsidRPr="00780CB8">
              <w:rPr>
                <w:sz w:val="20"/>
                <w:szCs w:val="20"/>
              </w:rPr>
              <w:t xml:space="preserve">A licence for friable asbestos removal work is now a ‘Class A’ asbestos removal licence and a licence for bonded asbestos removal work is now a ‘Class B’ asbestos removal work licence under the Work Health and Safety Regulation </w:t>
            </w:r>
            <w:r w:rsidR="00913AF4">
              <w:rPr>
                <w:sz w:val="20"/>
                <w:szCs w:val="20"/>
              </w:rPr>
              <w:t>2017</w:t>
            </w:r>
            <w:r w:rsidR="00E560D1">
              <w:rPr>
                <w:sz w:val="20"/>
                <w:szCs w:val="20"/>
              </w:rPr>
              <w:t>.</w:t>
            </w:r>
          </w:p>
        </w:tc>
      </w:tr>
      <w:tr w:rsidR="00AF6AFE" w14:paraId="0D114A31" w14:textId="77777777" w:rsidTr="00AF6AFE">
        <w:tc>
          <w:tcPr>
            <w:tcW w:w="559" w:type="dxa"/>
          </w:tcPr>
          <w:p w14:paraId="7DAF473B" w14:textId="77777777" w:rsidR="00AF6AFE" w:rsidRPr="004B6804" w:rsidRDefault="00AF6AFE" w:rsidP="00AF6AFE">
            <w:pPr>
              <w:pStyle w:val="NoSpacing"/>
              <w:jc w:val="right"/>
              <w:rPr>
                <w:color w:val="000000" w:themeColor="text1"/>
              </w:rPr>
            </w:pPr>
            <w:r w:rsidRPr="004B6804">
              <w:rPr>
                <w:rFonts w:ascii="Arial" w:hAnsi="Arial" w:cs="Arial"/>
                <w:color w:val="000000" w:themeColor="text1"/>
                <w:sz w:val="20"/>
                <w:szCs w:val="20"/>
              </w:rPr>
              <w:t>24</w:t>
            </w:r>
          </w:p>
        </w:tc>
        <w:tc>
          <w:tcPr>
            <w:tcW w:w="2335" w:type="dxa"/>
          </w:tcPr>
          <w:p w14:paraId="484CAC00" w14:textId="77777777" w:rsidR="00AF6AFE" w:rsidRPr="004B6804" w:rsidRDefault="00AF6AFE" w:rsidP="00AF6AFE">
            <w:pPr>
              <w:pStyle w:val="NoSpacing"/>
              <w:rPr>
                <w:color w:val="000000" w:themeColor="text1"/>
                <w:sz w:val="20"/>
                <w:szCs w:val="20"/>
              </w:rPr>
            </w:pPr>
            <w:r w:rsidRPr="004B6804">
              <w:rPr>
                <w:rFonts w:ascii="Arial" w:hAnsi="Arial" w:cs="Arial"/>
                <w:color w:val="000000" w:themeColor="text1"/>
                <w:sz w:val="20"/>
                <w:szCs w:val="20"/>
              </w:rPr>
              <w:t>Residential Building Works</w:t>
            </w:r>
          </w:p>
        </w:tc>
        <w:tc>
          <w:tcPr>
            <w:tcW w:w="5408" w:type="dxa"/>
          </w:tcPr>
          <w:p w14:paraId="406F68B9" w14:textId="77777777" w:rsidR="00AF6AFE" w:rsidRPr="004B6804" w:rsidRDefault="00AF6AFE" w:rsidP="00AF6AFE">
            <w:pPr>
              <w:pStyle w:val="NoSpacing"/>
              <w:rPr>
                <w:color w:val="000000" w:themeColor="text1"/>
                <w:sz w:val="20"/>
                <w:szCs w:val="20"/>
              </w:rPr>
            </w:pPr>
            <w:r w:rsidRPr="004B6804">
              <w:rPr>
                <w:rFonts w:ascii="Arial" w:hAnsi="Arial" w:cs="Arial"/>
                <w:color w:val="000000" w:themeColor="text1"/>
                <w:sz w:val="20"/>
                <w:szCs w:val="20"/>
                <w:lang w:val="en"/>
              </w:rPr>
              <w:t xml:space="preserve">Any work that is residential building work under the </w:t>
            </w:r>
            <w:r w:rsidRPr="004B6804">
              <w:rPr>
                <w:rStyle w:val="Emphasis"/>
                <w:rFonts w:ascii="Arial" w:hAnsi="Arial" w:cs="Arial"/>
                <w:color w:val="000000" w:themeColor="text1"/>
                <w:sz w:val="20"/>
                <w:szCs w:val="20"/>
                <w:lang w:val="en"/>
              </w:rPr>
              <w:t>Home Building Act 1989</w:t>
            </w:r>
            <w:r w:rsidRPr="004B6804">
              <w:rPr>
                <w:rFonts w:ascii="Arial" w:hAnsi="Arial" w:cs="Arial"/>
                <w:color w:val="000000" w:themeColor="text1"/>
                <w:sz w:val="20"/>
                <w:szCs w:val="20"/>
                <w:lang w:val="en"/>
              </w:rPr>
              <w:t xml:space="preserve"> which involves construction of a dwelling, or alterations or additions to a dwelling. It also includes repairing, renovating, decorating or applying protective treatment to a dwelling.</w:t>
            </w:r>
          </w:p>
        </w:tc>
      </w:tr>
    </w:tbl>
    <w:p w14:paraId="6B57EA21" w14:textId="77777777" w:rsidR="009C6638" w:rsidRDefault="009C6638" w:rsidP="009C6638">
      <w:pPr>
        <w:pStyle w:val="Clausenonumber"/>
        <w:ind w:left="0"/>
      </w:pPr>
    </w:p>
    <w:p w14:paraId="26BDD3E6" w14:textId="77777777" w:rsidR="00091910" w:rsidRDefault="00F30D1B" w:rsidP="009C6638">
      <w:pPr>
        <w:pStyle w:val="Clausenonumber"/>
        <w:ind w:left="0"/>
        <w:rPr>
          <w:b/>
        </w:rPr>
      </w:pPr>
      <w:r>
        <w:br w:type="page"/>
      </w:r>
      <w:r w:rsidR="00091910" w:rsidRPr="00C70DBA">
        <w:rPr>
          <w:b/>
        </w:rPr>
        <w:lastRenderedPageBreak/>
        <w:t>Appendix C: Performance Report Template</w:t>
      </w:r>
      <w:r w:rsidR="00091910" w:rsidRPr="00091910">
        <w:rPr>
          <w:b/>
        </w:rPr>
        <w:t xml:space="preserve"> </w:t>
      </w:r>
    </w:p>
    <w:p w14:paraId="5B76E536" w14:textId="77777777" w:rsidR="00421E11" w:rsidRDefault="00421E11" w:rsidP="009C6638">
      <w:pPr>
        <w:pStyle w:val="Clausenonumber"/>
        <w:ind w:left="0"/>
      </w:pPr>
    </w:p>
    <w:tbl>
      <w:tblPr>
        <w:tblStyle w:val="TableGrid"/>
        <w:tblW w:w="0" w:type="auto"/>
        <w:tblLook w:val="04A0" w:firstRow="1" w:lastRow="0" w:firstColumn="1" w:lastColumn="0" w:noHBand="0" w:noVBand="1"/>
      </w:tblPr>
      <w:tblGrid>
        <w:gridCol w:w="3588"/>
        <w:gridCol w:w="3013"/>
        <w:gridCol w:w="1701"/>
      </w:tblGrid>
      <w:tr w:rsidR="00091910" w14:paraId="40B13D90" w14:textId="77777777" w:rsidTr="00091910">
        <w:tc>
          <w:tcPr>
            <w:tcW w:w="3652" w:type="dxa"/>
            <w:shd w:val="clear" w:color="auto" w:fill="D9D9D9" w:themeFill="background1" w:themeFillShade="D9"/>
          </w:tcPr>
          <w:p w14:paraId="7B442D78" w14:textId="77777777" w:rsidR="00091910" w:rsidRDefault="00091910" w:rsidP="009C6638">
            <w:pPr>
              <w:pStyle w:val="Clausenonumber"/>
              <w:ind w:left="0"/>
            </w:pPr>
            <w:r>
              <w:t>Contractor Business Name</w:t>
            </w:r>
          </w:p>
          <w:p w14:paraId="0191412B" w14:textId="77777777" w:rsidR="00091910" w:rsidRDefault="00421E11" w:rsidP="009C6638">
            <w:pPr>
              <w:pStyle w:val="Clausenonumber"/>
              <w:ind w:left="0"/>
            </w:pPr>
            <w:r>
              <w:t>ABN</w:t>
            </w:r>
          </w:p>
        </w:tc>
        <w:tc>
          <w:tcPr>
            <w:tcW w:w="4876" w:type="dxa"/>
            <w:gridSpan w:val="2"/>
          </w:tcPr>
          <w:p w14:paraId="3C7DC9BD" w14:textId="77777777" w:rsidR="00091910" w:rsidRDefault="00091910" w:rsidP="009C6638">
            <w:pPr>
              <w:pStyle w:val="Clausenonumber"/>
              <w:ind w:left="0"/>
            </w:pPr>
          </w:p>
        </w:tc>
      </w:tr>
      <w:tr w:rsidR="00091910" w14:paraId="053193E7" w14:textId="77777777" w:rsidTr="00091910">
        <w:tc>
          <w:tcPr>
            <w:tcW w:w="3652" w:type="dxa"/>
            <w:shd w:val="clear" w:color="auto" w:fill="D9D9D9" w:themeFill="background1" w:themeFillShade="D9"/>
          </w:tcPr>
          <w:p w14:paraId="6A93A3D0" w14:textId="77777777" w:rsidR="00091910" w:rsidRDefault="00091910" w:rsidP="009C6638">
            <w:pPr>
              <w:pStyle w:val="Clausenonumber"/>
              <w:ind w:left="0"/>
            </w:pPr>
            <w:r>
              <w:t>Contractor contact person/phone</w:t>
            </w:r>
          </w:p>
          <w:p w14:paraId="3D004EFC" w14:textId="77777777" w:rsidR="00091910" w:rsidRDefault="00091910" w:rsidP="009C6638">
            <w:pPr>
              <w:pStyle w:val="Clausenonumber"/>
              <w:ind w:left="0"/>
            </w:pPr>
          </w:p>
        </w:tc>
        <w:tc>
          <w:tcPr>
            <w:tcW w:w="3119" w:type="dxa"/>
          </w:tcPr>
          <w:p w14:paraId="4FE2ED04" w14:textId="77777777" w:rsidR="00091910" w:rsidRDefault="00091910" w:rsidP="009C6638">
            <w:pPr>
              <w:pStyle w:val="Clausenonumber"/>
              <w:ind w:left="0"/>
            </w:pPr>
          </w:p>
        </w:tc>
        <w:tc>
          <w:tcPr>
            <w:tcW w:w="1757" w:type="dxa"/>
          </w:tcPr>
          <w:p w14:paraId="4FAB99A1" w14:textId="77777777" w:rsidR="00091910" w:rsidRDefault="00091910" w:rsidP="009C6638">
            <w:pPr>
              <w:pStyle w:val="Clausenonumber"/>
              <w:ind w:left="0"/>
            </w:pPr>
          </w:p>
        </w:tc>
      </w:tr>
      <w:tr w:rsidR="00091910" w14:paraId="57486FC9" w14:textId="77777777" w:rsidTr="00091910">
        <w:tc>
          <w:tcPr>
            <w:tcW w:w="3652" w:type="dxa"/>
            <w:shd w:val="clear" w:color="auto" w:fill="D9D9D9" w:themeFill="background1" w:themeFillShade="D9"/>
          </w:tcPr>
          <w:p w14:paraId="5A03B34C" w14:textId="77777777" w:rsidR="00091910" w:rsidRDefault="00091910" w:rsidP="009C6638">
            <w:pPr>
              <w:pStyle w:val="Clausenonumber"/>
              <w:ind w:left="0"/>
            </w:pPr>
            <w:r>
              <w:t>RFT No</w:t>
            </w:r>
          </w:p>
          <w:p w14:paraId="5B025528" w14:textId="77777777" w:rsidR="00091910" w:rsidRDefault="00091910" w:rsidP="009C6638">
            <w:pPr>
              <w:pStyle w:val="Clausenonumber"/>
              <w:ind w:left="0"/>
            </w:pPr>
          </w:p>
        </w:tc>
        <w:tc>
          <w:tcPr>
            <w:tcW w:w="4876" w:type="dxa"/>
            <w:gridSpan w:val="2"/>
          </w:tcPr>
          <w:p w14:paraId="0389C49D" w14:textId="77777777" w:rsidR="00091910" w:rsidRDefault="00091910" w:rsidP="009C6638">
            <w:pPr>
              <w:pStyle w:val="Clausenonumber"/>
              <w:ind w:left="0"/>
            </w:pPr>
          </w:p>
        </w:tc>
      </w:tr>
      <w:tr w:rsidR="00091910" w14:paraId="12F80F9C" w14:textId="77777777" w:rsidTr="00091910">
        <w:tc>
          <w:tcPr>
            <w:tcW w:w="3652" w:type="dxa"/>
            <w:shd w:val="clear" w:color="auto" w:fill="D9D9D9" w:themeFill="background1" w:themeFillShade="D9"/>
          </w:tcPr>
          <w:p w14:paraId="10F54711" w14:textId="77777777" w:rsidR="007F54A4" w:rsidRDefault="00091910" w:rsidP="00091910">
            <w:pPr>
              <w:pStyle w:val="Clausenonumber"/>
              <w:ind w:left="0"/>
            </w:pPr>
            <w:r>
              <w:t>Project name/description</w:t>
            </w:r>
          </w:p>
        </w:tc>
        <w:tc>
          <w:tcPr>
            <w:tcW w:w="4876" w:type="dxa"/>
            <w:gridSpan w:val="2"/>
          </w:tcPr>
          <w:p w14:paraId="2CB410DF" w14:textId="77777777" w:rsidR="00091910" w:rsidRDefault="00091910" w:rsidP="009C6638">
            <w:pPr>
              <w:pStyle w:val="Clausenonumber"/>
              <w:ind w:left="0"/>
            </w:pPr>
          </w:p>
        </w:tc>
      </w:tr>
      <w:tr w:rsidR="00091910" w14:paraId="158626D9" w14:textId="77777777" w:rsidTr="00091910">
        <w:tc>
          <w:tcPr>
            <w:tcW w:w="3652" w:type="dxa"/>
            <w:shd w:val="clear" w:color="auto" w:fill="D9D9D9" w:themeFill="background1" w:themeFillShade="D9"/>
          </w:tcPr>
          <w:p w14:paraId="517B89EB" w14:textId="77777777" w:rsidR="00091910" w:rsidRDefault="00091910" w:rsidP="009C6638">
            <w:pPr>
              <w:pStyle w:val="Clausenonumber"/>
              <w:ind w:left="0"/>
            </w:pPr>
            <w:r>
              <w:t>Date engagement commenced</w:t>
            </w:r>
          </w:p>
          <w:p w14:paraId="0B66E9B2" w14:textId="77777777" w:rsidR="00091910" w:rsidRDefault="00091910" w:rsidP="009C6638">
            <w:pPr>
              <w:pStyle w:val="Clausenonumber"/>
              <w:ind w:left="0"/>
            </w:pPr>
          </w:p>
        </w:tc>
        <w:tc>
          <w:tcPr>
            <w:tcW w:w="4876" w:type="dxa"/>
            <w:gridSpan w:val="2"/>
          </w:tcPr>
          <w:p w14:paraId="062005AB" w14:textId="77777777" w:rsidR="00091910" w:rsidRDefault="00091910" w:rsidP="009C6638">
            <w:pPr>
              <w:pStyle w:val="Clausenonumber"/>
              <w:ind w:left="0"/>
            </w:pPr>
          </w:p>
        </w:tc>
      </w:tr>
      <w:tr w:rsidR="00091910" w14:paraId="2A0AFBD4" w14:textId="77777777" w:rsidTr="00091910">
        <w:tc>
          <w:tcPr>
            <w:tcW w:w="3652" w:type="dxa"/>
            <w:shd w:val="clear" w:color="auto" w:fill="D9D9D9" w:themeFill="background1" w:themeFillShade="D9"/>
          </w:tcPr>
          <w:p w14:paraId="568D0F5F" w14:textId="77777777" w:rsidR="00091910" w:rsidRDefault="00091910" w:rsidP="009C6638">
            <w:pPr>
              <w:pStyle w:val="Clausenonumber"/>
              <w:ind w:left="0"/>
            </w:pPr>
            <w:r>
              <w:t>Date engagement completed</w:t>
            </w:r>
          </w:p>
          <w:p w14:paraId="7C93A6B8" w14:textId="77777777" w:rsidR="00091910" w:rsidRDefault="00091910" w:rsidP="009C6638">
            <w:pPr>
              <w:pStyle w:val="Clausenonumber"/>
              <w:ind w:left="0"/>
            </w:pPr>
          </w:p>
        </w:tc>
        <w:tc>
          <w:tcPr>
            <w:tcW w:w="4876" w:type="dxa"/>
            <w:gridSpan w:val="2"/>
          </w:tcPr>
          <w:p w14:paraId="476FE0AC" w14:textId="77777777" w:rsidR="00091910" w:rsidRDefault="00091910" w:rsidP="009C6638">
            <w:pPr>
              <w:pStyle w:val="Clausenonumber"/>
              <w:ind w:left="0"/>
            </w:pPr>
          </w:p>
        </w:tc>
      </w:tr>
      <w:tr w:rsidR="00091910" w14:paraId="4E9E9466" w14:textId="77777777" w:rsidTr="00091910">
        <w:tc>
          <w:tcPr>
            <w:tcW w:w="3652" w:type="dxa"/>
            <w:shd w:val="clear" w:color="auto" w:fill="D9D9D9" w:themeFill="background1" w:themeFillShade="D9"/>
          </w:tcPr>
          <w:p w14:paraId="026BC996" w14:textId="77777777" w:rsidR="00091910" w:rsidRDefault="00091910" w:rsidP="009C6638">
            <w:pPr>
              <w:pStyle w:val="Clausenonumber"/>
              <w:ind w:left="0"/>
            </w:pPr>
            <w:r>
              <w:t>Total value of engagement</w:t>
            </w:r>
          </w:p>
          <w:p w14:paraId="7C214399" w14:textId="77777777" w:rsidR="00091910" w:rsidRDefault="00091910" w:rsidP="009C6638">
            <w:pPr>
              <w:pStyle w:val="Clausenonumber"/>
              <w:ind w:left="0"/>
            </w:pPr>
          </w:p>
        </w:tc>
        <w:tc>
          <w:tcPr>
            <w:tcW w:w="4876" w:type="dxa"/>
            <w:gridSpan w:val="2"/>
          </w:tcPr>
          <w:p w14:paraId="232B490F" w14:textId="77777777" w:rsidR="00091910" w:rsidRDefault="00091910" w:rsidP="009C6638">
            <w:pPr>
              <w:pStyle w:val="Clausenonumber"/>
              <w:ind w:left="0"/>
            </w:pPr>
          </w:p>
        </w:tc>
      </w:tr>
    </w:tbl>
    <w:p w14:paraId="34AFDFA0" w14:textId="77777777" w:rsidR="00091910" w:rsidRDefault="00091910" w:rsidP="009C6638">
      <w:pPr>
        <w:pStyle w:val="Clausenonumber"/>
        <w:ind w:left="0"/>
      </w:pPr>
    </w:p>
    <w:tbl>
      <w:tblPr>
        <w:tblStyle w:val="TableGrid"/>
        <w:tblW w:w="0" w:type="auto"/>
        <w:tblLook w:val="04A0" w:firstRow="1" w:lastRow="0" w:firstColumn="1" w:lastColumn="0" w:noHBand="0" w:noVBand="1"/>
      </w:tblPr>
      <w:tblGrid>
        <w:gridCol w:w="2050"/>
        <w:gridCol w:w="637"/>
        <w:gridCol w:w="1610"/>
        <w:gridCol w:w="1366"/>
        <w:gridCol w:w="926"/>
        <w:gridCol w:w="1093"/>
        <w:gridCol w:w="620"/>
      </w:tblGrid>
      <w:tr w:rsidR="007F54A4" w14:paraId="0193239A" w14:textId="77777777" w:rsidTr="004A2126">
        <w:tc>
          <w:tcPr>
            <w:tcW w:w="2111" w:type="dxa"/>
            <w:shd w:val="clear" w:color="auto" w:fill="D9D9D9" w:themeFill="background1" w:themeFillShade="D9"/>
          </w:tcPr>
          <w:p w14:paraId="5A22DD68" w14:textId="77777777" w:rsidR="007F54A4" w:rsidRDefault="007F54A4" w:rsidP="009C6638">
            <w:pPr>
              <w:pStyle w:val="Clausenonumber"/>
              <w:ind w:left="0"/>
            </w:pPr>
          </w:p>
          <w:p w14:paraId="0694C849" w14:textId="77777777" w:rsidR="00091910" w:rsidRDefault="00091910" w:rsidP="00E1111B">
            <w:pPr>
              <w:pStyle w:val="Clausenonumber"/>
              <w:ind w:left="0"/>
            </w:pPr>
          </w:p>
        </w:tc>
        <w:tc>
          <w:tcPr>
            <w:tcW w:w="650" w:type="dxa"/>
            <w:shd w:val="clear" w:color="auto" w:fill="D9D9D9" w:themeFill="background1" w:themeFillShade="D9"/>
          </w:tcPr>
          <w:p w14:paraId="14D44268" w14:textId="77777777" w:rsidR="007F54A4" w:rsidRDefault="007F54A4" w:rsidP="009C6638">
            <w:pPr>
              <w:pStyle w:val="Clausenonumber"/>
              <w:ind w:left="0"/>
            </w:pPr>
          </w:p>
          <w:p w14:paraId="2E0457DD" w14:textId="77777777" w:rsidR="00091910" w:rsidRDefault="007F54A4" w:rsidP="009C6638">
            <w:pPr>
              <w:pStyle w:val="Clausenonumber"/>
              <w:ind w:left="0"/>
            </w:pPr>
            <w:r>
              <w:t>N/A</w:t>
            </w:r>
          </w:p>
        </w:tc>
        <w:tc>
          <w:tcPr>
            <w:tcW w:w="1610" w:type="dxa"/>
            <w:shd w:val="clear" w:color="auto" w:fill="D9D9D9" w:themeFill="background1" w:themeFillShade="D9"/>
          </w:tcPr>
          <w:p w14:paraId="77AB8915" w14:textId="77777777" w:rsidR="007F54A4" w:rsidRDefault="007F54A4" w:rsidP="009C6638">
            <w:pPr>
              <w:pStyle w:val="Clausenonumber"/>
              <w:ind w:left="0"/>
            </w:pPr>
          </w:p>
          <w:p w14:paraId="0AB6D5A1" w14:textId="77777777" w:rsidR="00091910" w:rsidRDefault="007F54A4" w:rsidP="009C6638">
            <w:pPr>
              <w:pStyle w:val="Clausenonumber"/>
              <w:ind w:left="0"/>
            </w:pPr>
            <w:r>
              <w:t>Unsatisfactory</w:t>
            </w:r>
          </w:p>
        </w:tc>
        <w:tc>
          <w:tcPr>
            <w:tcW w:w="1366" w:type="dxa"/>
            <w:shd w:val="clear" w:color="auto" w:fill="D9D9D9" w:themeFill="background1" w:themeFillShade="D9"/>
          </w:tcPr>
          <w:p w14:paraId="232E43A7" w14:textId="77777777" w:rsidR="007F54A4" w:rsidRDefault="007F54A4" w:rsidP="009C6638">
            <w:pPr>
              <w:pStyle w:val="Clausenonumber"/>
              <w:ind w:left="0"/>
            </w:pPr>
          </w:p>
          <w:p w14:paraId="40E6200E" w14:textId="77777777" w:rsidR="00091910" w:rsidRDefault="007F54A4" w:rsidP="009C6638">
            <w:pPr>
              <w:pStyle w:val="Clausenonumber"/>
              <w:ind w:left="0"/>
            </w:pPr>
            <w:r>
              <w:t>Satisfactory</w:t>
            </w:r>
          </w:p>
        </w:tc>
        <w:tc>
          <w:tcPr>
            <w:tcW w:w="968" w:type="dxa"/>
            <w:shd w:val="clear" w:color="auto" w:fill="D9D9D9" w:themeFill="background1" w:themeFillShade="D9"/>
          </w:tcPr>
          <w:p w14:paraId="57689060" w14:textId="77777777" w:rsidR="007F54A4" w:rsidRDefault="007F54A4" w:rsidP="009C6638">
            <w:pPr>
              <w:pStyle w:val="Clausenonumber"/>
              <w:ind w:left="0"/>
            </w:pPr>
          </w:p>
          <w:p w14:paraId="6177A42A" w14:textId="77777777" w:rsidR="00091910" w:rsidRDefault="007F54A4" w:rsidP="009C6638">
            <w:pPr>
              <w:pStyle w:val="Clausenonumber"/>
              <w:ind w:left="0"/>
            </w:pPr>
            <w:r>
              <w:t>Good</w:t>
            </w:r>
          </w:p>
        </w:tc>
        <w:tc>
          <w:tcPr>
            <w:tcW w:w="1104" w:type="dxa"/>
            <w:shd w:val="clear" w:color="auto" w:fill="D9D9D9" w:themeFill="background1" w:themeFillShade="D9"/>
          </w:tcPr>
          <w:p w14:paraId="45E1D1AC" w14:textId="77777777" w:rsidR="007F54A4" w:rsidRDefault="007F54A4" w:rsidP="009C6638">
            <w:pPr>
              <w:pStyle w:val="Clausenonumber"/>
              <w:ind w:left="0"/>
            </w:pPr>
          </w:p>
          <w:p w14:paraId="03359B57" w14:textId="77777777" w:rsidR="00091910" w:rsidRDefault="007F54A4" w:rsidP="009C6638">
            <w:pPr>
              <w:pStyle w:val="Clausenonumber"/>
              <w:ind w:left="0"/>
            </w:pPr>
            <w:r>
              <w:t>Superior</w:t>
            </w:r>
          </w:p>
        </w:tc>
        <w:tc>
          <w:tcPr>
            <w:tcW w:w="719" w:type="dxa"/>
            <w:shd w:val="clear" w:color="auto" w:fill="D9D9D9" w:themeFill="background1" w:themeFillShade="D9"/>
          </w:tcPr>
          <w:p w14:paraId="3A9502A4" w14:textId="77777777" w:rsidR="00091910" w:rsidRDefault="00091910" w:rsidP="009C6638">
            <w:pPr>
              <w:pStyle w:val="Clausenonumber"/>
              <w:ind w:left="0"/>
            </w:pPr>
          </w:p>
        </w:tc>
      </w:tr>
      <w:tr w:rsidR="00421E11" w14:paraId="3DEA65AE" w14:textId="77777777" w:rsidTr="004A2126">
        <w:tc>
          <w:tcPr>
            <w:tcW w:w="2111" w:type="dxa"/>
            <w:shd w:val="clear" w:color="auto" w:fill="D9D9D9" w:themeFill="background1" w:themeFillShade="D9"/>
          </w:tcPr>
          <w:p w14:paraId="04C98325" w14:textId="77777777" w:rsidR="00421E11" w:rsidRDefault="00421E11" w:rsidP="00421E11">
            <w:pPr>
              <w:pStyle w:val="Clausenonumber"/>
              <w:ind w:left="0"/>
            </w:pPr>
            <w:r>
              <w:t>Time management</w:t>
            </w:r>
          </w:p>
          <w:p w14:paraId="41B8DEC3" w14:textId="77777777" w:rsidR="00421E11" w:rsidRDefault="00421E11" w:rsidP="009C6638">
            <w:pPr>
              <w:pStyle w:val="Clausenonumber"/>
              <w:ind w:left="0"/>
            </w:pPr>
          </w:p>
        </w:tc>
        <w:tc>
          <w:tcPr>
            <w:tcW w:w="650" w:type="dxa"/>
            <w:shd w:val="clear" w:color="auto" w:fill="FFFFFF" w:themeFill="background1"/>
          </w:tcPr>
          <w:p w14:paraId="6C46A647" w14:textId="77777777" w:rsidR="00421E11" w:rsidRDefault="00421E11" w:rsidP="009C6638">
            <w:pPr>
              <w:pStyle w:val="Clausenonumber"/>
              <w:ind w:left="0"/>
            </w:pPr>
          </w:p>
        </w:tc>
        <w:tc>
          <w:tcPr>
            <w:tcW w:w="1610" w:type="dxa"/>
            <w:shd w:val="clear" w:color="auto" w:fill="FFFFFF" w:themeFill="background1"/>
          </w:tcPr>
          <w:p w14:paraId="6D65DEA9" w14:textId="77777777" w:rsidR="00421E11" w:rsidRDefault="00421E11" w:rsidP="009C6638">
            <w:pPr>
              <w:pStyle w:val="Clausenonumber"/>
              <w:ind w:left="0"/>
            </w:pPr>
          </w:p>
        </w:tc>
        <w:tc>
          <w:tcPr>
            <w:tcW w:w="1366" w:type="dxa"/>
            <w:shd w:val="clear" w:color="auto" w:fill="FFFFFF" w:themeFill="background1"/>
          </w:tcPr>
          <w:p w14:paraId="781BF6BF" w14:textId="77777777" w:rsidR="00421E11" w:rsidRDefault="00421E11" w:rsidP="009C6638">
            <w:pPr>
              <w:pStyle w:val="Clausenonumber"/>
              <w:ind w:left="0"/>
            </w:pPr>
          </w:p>
        </w:tc>
        <w:tc>
          <w:tcPr>
            <w:tcW w:w="968" w:type="dxa"/>
            <w:shd w:val="clear" w:color="auto" w:fill="FFFFFF" w:themeFill="background1"/>
          </w:tcPr>
          <w:p w14:paraId="63D5F93E" w14:textId="77777777" w:rsidR="00421E11" w:rsidRDefault="00421E11" w:rsidP="009C6638">
            <w:pPr>
              <w:pStyle w:val="Clausenonumber"/>
              <w:ind w:left="0"/>
            </w:pPr>
          </w:p>
        </w:tc>
        <w:tc>
          <w:tcPr>
            <w:tcW w:w="1104" w:type="dxa"/>
            <w:shd w:val="clear" w:color="auto" w:fill="FFFFFF" w:themeFill="background1"/>
          </w:tcPr>
          <w:p w14:paraId="22C7A31B" w14:textId="77777777" w:rsidR="00421E11" w:rsidRDefault="00421E11" w:rsidP="009C6638">
            <w:pPr>
              <w:pStyle w:val="Clausenonumber"/>
              <w:ind w:left="0"/>
            </w:pPr>
          </w:p>
        </w:tc>
        <w:tc>
          <w:tcPr>
            <w:tcW w:w="719" w:type="dxa"/>
            <w:shd w:val="clear" w:color="auto" w:fill="FFFFFF" w:themeFill="background1"/>
          </w:tcPr>
          <w:p w14:paraId="5FC905A5" w14:textId="77777777" w:rsidR="00421E11" w:rsidRDefault="00421E11" w:rsidP="009C6638">
            <w:pPr>
              <w:pStyle w:val="Clausenonumber"/>
              <w:ind w:left="0"/>
            </w:pPr>
          </w:p>
        </w:tc>
      </w:tr>
      <w:tr w:rsidR="00421E11" w14:paraId="249449EE" w14:textId="77777777" w:rsidTr="004A2126">
        <w:tc>
          <w:tcPr>
            <w:tcW w:w="2111" w:type="dxa"/>
            <w:shd w:val="clear" w:color="auto" w:fill="D9D9D9" w:themeFill="background1" w:themeFillShade="D9"/>
          </w:tcPr>
          <w:p w14:paraId="644B9CC6" w14:textId="77777777" w:rsidR="00421E11" w:rsidRDefault="00421E11" w:rsidP="00E1111B">
            <w:pPr>
              <w:pStyle w:val="Clausenonumber"/>
              <w:ind w:left="0"/>
            </w:pPr>
            <w:r>
              <w:t>Standard of work</w:t>
            </w:r>
          </w:p>
          <w:p w14:paraId="43CA4C98" w14:textId="77777777" w:rsidR="00421E11" w:rsidRDefault="00421E11" w:rsidP="00A44854">
            <w:pPr>
              <w:pStyle w:val="Clausenonumber"/>
              <w:ind w:left="0"/>
            </w:pPr>
          </w:p>
        </w:tc>
        <w:tc>
          <w:tcPr>
            <w:tcW w:w="650" w:type="dxa"/>
            <w:shd w:val="clear" w:color="auto" w:fill="FFFFFF" w:themeFill="background1"/>
          </w:tcPr>
          <w:p w14:paraId="42E935F1" w14:textId="77777777" w:rsidR="00421E11" w:rsidRDefault="00421E11" w:rsidP="009C6638">
            <w:pPr>
              <w:pStyle w:val="Clausenonumber"/>
              <w:ind w:left="0"/>
            </w:pPr>
          </w:p>
        </w:tc>
        <w:tc>
          <w:tcPr>
            <w:tcW w:w="1610" w:type="dxa"/>
            <w:shd w:val="clear" w:color="auto" w:fill="FFFFFF" w:themeFill="background1"/>
          </w:tcPr>
          <w:p w14:paraId="07C72669" w14:textId="77777777" w:rsidR="00421E11" w:rsidRDefault="00421E11" w:rsidP="009C6638">
            <w:pPr>
              <w:pStyle w:val="Clausenonumber"/>
              <w:ind w:left="0"/>
            </w:pPr>
          </w:p>
        </w:tc>
        <w:tc>
          <w:tcPr>
            <w:tcW w:w="1366" w:type="dxa"/>
            <w:shd w:val="clear" w:color="auto" w:fill="FFFFFF" w:themeFill="background1"/>
          </w:tcPr>
          <w:p w14:paraId="7E194509" w14:textId="77777777" w:rsidR="00421E11" w:rsidRDefault="00421E11" w:rsidP="009C6638">
            <w:pPr>
              <w:pStyle w:val="Clausenonumber"/>
              <w:ind w:left="0"/>
            </w:pPr>
          </w:p>
        </w:tc>
        <w:tc>
          <w:tcPr>
            <w:tcW w:w="968" w:type="dxa"/>
            <w:shd w:val="clear" w:color="auto" w:fill="FFFFFF" w:themeFill="background1"/>
          </w:tcPr>
          <w:p w14:paraId="2A7A61A2" w14:textId="77777777" w:rsidR="00421E11" w:rsidRDefault="00421E11" w:rsidP="009C6638">
            <w:pPr>
              <w:pStyle w:val="Clausenonumber"/>
              <w:ind w:left="0"/>
            </w:pPr>
          </w:p>
        </w:tc>
        <w:tc>
          <w:tcPr>
            <w:tcW w:w="1104" w:type="dxa"/>
            <w:shd w:val="clear" w:color="auto" w:fill="FFFFFF" w:themeFill="background1"/>
          </w:tcPr>
          <w:p w14:paraId="340044F7" w14:textId="77777777" w:rsidR="00421E11" w:rsidRDefault="00421E11" w:rsidP="009C6638">
            <w:pPr>
              <w:pStyle w:val="Clausenonumber"/>
              <w:ind w:left="0"/>
            </w:pPr>
          </w:p>
        </w:tc>
        <w:tc>
          <w:tcPr>
            <w:tcW w:w="719" w:type="dxa"/>
            <w:shd w:val="clear" w:color="auto" w:fill="FFFFFF" w:themeFill="background1"/>
          </w:tcPr>
          <w:p w14:paraId="09628BA7" w14:textId="77777777" w:rsidR="00421E11" w:rsidRDefault="00421E11" w:rsidP="009C6638">
            <w:pPr>
              <w:pStyle w:val="Clausenonumber"/>
              <w:ind w:left="0"/>
            </w:pPr>
          </w:p>
        </w:tc>
      </w:tr>
      <w:tr w:rsidR="007F54A4" w14:paraId="7A161E3B" w14:textId="77777777" w:rsidTr="004A2126">
        <w:tc>
          <w:tcPr>
            <w:tcW w:w="2111" w:type="dxa"/>
            <w:shd w:val="clear" w:color="auto" w:fill="D9D9D9" w:themeFill="background1" w:themeFillShade="D9"/>
          </w:tcPr>
          <w:p w14:paraId="67E4F524" w14:textId="77777777" w:rsidR="00091910" w:rsidRDefault="00421E11" w:rsidP="009C6638">
            <w:pPr>
              <w:pStyle w:val="Clausenonumber"/>
              <w:ind w:left="0"/>
            </w:pPr>
            <w:r>
              <w:t>Contractor’s p</w:t>
            </w:r>
            <w:r w:rsidR="00091910">
              <w:t>ersonnel</w:t>
            </w:r>
            <w:r>
              <w:t xml:space="preserve"> – </w:t>
            </w:r>
            <w:r w:rsidR="00091910">
              <w:t>skill</w:t>
            </w:r>
            <w:r>
              <w:t>s, supervision of w</w:t>
            </w:r>
            <w:r w:rsidR="00091910">
              <w:t>ork</w:t>
            </w:r>
          </w:p>
          <w:p w14:paraId="559D636F" w14:textId="77777777" w:rsidR="00091910" w:rsidRDefault="00091910" w:rsidP="009C6638">
            <w:pPr>
              <w:pStyle w:val="Clausenonumber"/>
              <w:ind w:left="0"/>
            </w:pPr>
          </w:p>
        </w:tc>
        <w:tc>
          <w:tcPr>
            <w:tcW w:w="650" w:type="dxa"/>
          </w:tcPr>
          <w:p w14:paraId="11FC6EBF" w14:textId="77777777" w:rsidR="00091910" w:rsidRDefault="00091910" w:rsidP="009C6638">
            <w:pPr>
              <w:pStyle w:val="Clausenonumber"/>
              <w:ind w:left="0"/>
            </w:pPr>
          </w:p>
        </w:tc>
        <w:tc>
          <w:tcPr>
            <w:tcW w:w="1610" w:type="dxa"/>
          </w:tcPr>
          <w:p w14:paraId="1C314B90" w14:textId="77777777" w:rsidR="00091910" w:rsidRDefault="00091910" w:rsidP="009C6638">
            <w:pPr>
              <w:pStyle w:val="Clausenonumber"/>
              <w:ind w:left="0"/>
            </w:pPr>
          </w:p>
        </w:tc>
        <w:tc>
          <w:tcPr>
            <w:tcW w:w="1366" w:type="dxa"/>
          </w:tcPr>
          <w:p w14:paraId="2A2C934E" w14:textId="77777777" w:rsidR="00091910" w:rsidRDefault="00091910" w:rsidP="009C6638">
            <w:pPr>
              <w:pStyle w:val="Clausenonumber"/>
              <w:ind w:left="0"/>
            </w:pPr>
          </w:p>
        </w:tc>
        <w:tc>
          <w:tcPr>
            <w:tcW w:w="968" w:type="dxa"/>
          </w:tcPr>
          <w:p w14:paraId="0B1BCF76" w14:textId="77777777" w:rsidR="00091910" w:rsidRDefault="00091910" w:rsidP="009C6638">
            <w:pPr>
              <w:pStyle w:val="Clausenonumber"/>
              <w:ind w:left="0"/>
            </w:pPr>
          </w:p>
        </w:tc>
        <w:tc>
          <w:tcPr>
            <w:tcW w:w="1104" w:type="dxa"/>
          </w:tcPr>
          <w:p w14:paraId="44F29737" w14:textId="77777777" w:rsidR="00091910" w:rsidRDefault="00091910" w:rsidP="009C6638">
            <w:pPr>
              <w:pStyle w:val="Clausenonumber"/>
              <w:ind w:left="0"/>
            </w:pPr>
          </w:p>
        </w:tc>
        <w:tc>
          <w:tcPr>
            <w:tcW w:w="719" w:type="dxa"/>
          </w:tcPr>
          <w:p w14:paraId="299FFF69" w14:textId="77777777" w:rsidR="00091910" w:rsidRDefault="00091910" w:rsidP="009C6638">
            <w:pPr>
              <w:pStyle w:val="Clausenonumber"/>
              <w:ind w:left="0"/>
            </w:pPr>
          </w:p>
        </w:tc>
      </w:tr>
      <w:tr w:rsidR="007F54A4" w14:paraId="007698B1" w14:textId="77777777" w:rsidTr="004A2126">
        <w:tc>
          <w:tcPr>
            <w:tcW w:w="2111" w:type="dxa"/>
            <w:shd w:val="clear" w:color="auto" w:fill="D9D9D9" w:themeFill="background1" w:themeFillShade="D9"/>
          </w:tcPr>
          <w:p w14:paraId="3D92BB63" w14:textId="77777777" w:rsidR="00421E11" w:rsidRDefault="00421E11" w:rsidP="00421E11">
            <w:pPr>
              <w:pStyle w:val="Clausenonumber"/>
              <w:ind w:left="0"/>
            </w:pPr>
            <w:r>
              <w:t xml:space="preserve">Communication, co-operation </w:t>
            </w:r>
          </w:p>
          <w:p w14:paraId="412BABD7" w14:textId="77777777" w:rsidR="007F54A4" w:rsidRDefault="007F54A4" w:rsidP="00E1111B">
            <w:pPr>
              <w:pStyle w:val="Clausenonumber"/>
              <w:ind w:left="0"/>
            </w:pPr>
          </w:p>
        </w:tc>
        <w:tc>
          <w:tcPr>
            <w:tcW w:w="650" w:type="dxa"/>
          </w:tcPr>
          <w:p w14:paraId="436C4001" w14:textId="77777777" w:rsidR="00091910" w:rsidRDefault="00091910" w:rsidP="009C6638">
            <w:pPr>
              <w:pStyle w:val="Clausenonumber"/>
              <w:ind w:left="0"/>
            </w:pPr>
          </w:p>
        </w:tc>
        <w:tc>
          <w:tcPr>
            <w:tcW w:w="1610" w:type="dxa"/>
          </w:tcPr>
          <w:p w14:paraId="2AE04B98" w14:textId="77777777" w:rsidR="00091910" w:rsidRDefault="00091910" w:rsidP="009C6638">
            <w:pPr>
              <w:pStyle w:val="Clausenonumber"/>
              <w:ind w:left="0"/>
            </w:pPr>
          </w:p>
        </w:tc>
        <w:tc>
          <w:tcPr>
            <w:tcW w:w="1366" w:type="dxa"/>
          </w:tcPr>
          <w:p w14:paraId="79C0C8E7" w14:textId="77777777" w:rsidR="00091910" w:rsidRDefault="00091910" w:rsidP="009C6638">
            <w:pPr>
              <w:pStyle w:val="Clausenonumber"/>
              <w:ind w:left="0"/>
            </w:pPr>
          </w:p>
        </w:tc>
        <w:tc>
          <w:tcPr>
            <w:tcW w:w="968" w:type="dxa"/>
          </w:tcPr>
          <w:p w14:paraId="73E83914" w14:textId="77777777" w:rsidR="00091910" w:rsidRDefault="00091910" w:rsidP="009C6638">
            <w:pPr>
              <w:pStyle w:val="Clausenonumber"/>
              <w:ind w:left="0"/>
            </w:pPr>
          </w:p>
        </w:tc>
        <w:tc>
          <w:tcPr>
            <w:tcW w:w="1104" w:type="dxa"/>
          </w:tcPr>
          <w:p w14:paraId="2EE2BB83" w14:textId="77777777" w:rsidR="00091910" w:rsidRDefault="00091910" w:rsidP="009C6638">
            <w:pPr>
              <w:pStyle w:val="Clausenonumber"/>
              <w:ind w:left="0"/>
            </w:pPr>
          </w:p>
        </w:tc>
        <w:tc>
          <w:tcPr>
            <w:tcW w:w="719" w:type="dxa"/>
          </w:tcPr>
          <w:p w14:paraId="4B40652F" w14:textId="77777777" w:rsidR="00091910" w:rsidRDefault="00091910" w:rsidP="009C6638">
            <w:pPr>
              <w:pStyle w:val="Clausenonumber"/>
              <w:ind w:left="0"/>
            </w:pPr>
          </w:p>
        </w:tc>
      </w:tr>
      <w:tr w:rsidR="00421E11" w14:paraId="1062B487" w14:textId="77777777" w:rsidTr="00421E11">
        <w:tc>
          <w:tcPr>
            <w:tcW w:w="2111" w:type="dxa"/>
            <w:shd w:val="clear" w:color="auto" w:fill="D9D9D9" w:themeFill="background1" w:themeFillShade="D9"/>
          </w:tcPr>
          <w:p w14:paraId="60CC5EE5" w14:textId="77777777" w:rsidR="00421E11" w:rsidRDefault="00421E11" w:rsidP="00421E11">
            <w:pPr>
              <w:pStyle w:val="Clausenonumber"/>
              <w:ind w:left="0"/>
            </w:pPr>
            <w:r>
              <w:t>Work Health and Safety compliance</w:t>
            </w:r>
          </w:p>
          <w:p w14:paraId="1B61518F" w14:textId="77777777" w:rsidR="00421E11" w:rsidRDefault="00421E11" w:rsidP="00421E11">
            <w:pPr>
              <w:pStyle w:val="Clausenonumber"/>
              <w:ind w:left="0"/>
            </w:pPr>
          </w:p>
        </w:tc>
        <w:tc>
          <w:tcPr>
            <w:tcW w:w="650" w:type="dxa"/>
          </w:tcPr>
          <w:p w14:paraId="7F829C22" w14:textId="77777777" w:rsidR="00421E11" w:rsidRDefault="00421E11" w:rsidP="009C6638">
            <w:pPr>
              <w:pStyle w:val="Clausenonumber"/>
              <w:ind w:left="0"/>
            </w:pPr>
          </w:p>
        </w:tc>
        <w:tc>
          <w:tcPr>
            <w:tcW w:w="1610" w:type="dxa"/>
          </w:tcPr>
          <w:p w14:paraId="50ACC59A" w14:textId="77777777" w:rsidR="00421E11" w:rsidRDefault="00421E11" w:rsidP="009C6638">
            <w:pPr>
              <w:pStyle w:val="Clausenonumber"/>
              <w:ind w:left="0"/>
            </w:pPr>
          </w:p>
        </w:tc>
        <w:tc>
          <w:tcPr>
            <w:tcW w:w="1366" w:type="dxa"/>
          </w:tcPr>
          <w:p w14:paraId="0F258B87" w14:textId="77777777" w:rsidR="00421E11" w:rsidRDefault="00421E11" w:rsidP="009C6638">
            <w:pPr>
              <w:pStyle w:val="Clausenonumber"/>
              <w:ind w:left="0"/>
            </w:pPr>
          </w:p>
        </w:tc>
        <w:tc>
          <w:tcPr>
            <w:tcW w:w="968" w:type="dxa"/>
          </w:tcPr>
          <w:p w14:paraId="2E6660B5" w14:textId="77777777" w:rsidR="00421E11" w:rsidRDefault="00421E11" w:rsidP="009C6638">
            <w:pPr>
              <w:pStyle w:val="Clausenonumber"/>
              <w:ind w:left="0"/>
            </w:pPr>
          </w:p>
        </w:tc>
        <w:tc>
          <w:tcPr>
            <w:tcW w:w="1104" w:type="dxa"/>
          </w:tcPr>
          <w:p w14:paraId="2898CF1B" w14:textId="77777777" w:rsidR="00421E11" w:rsidRDefault="00421E11" w:rsidP="009C6638">
            <w:pPr>
              <w:pStyle w:val="Clausenonumber"/>
              <w:ind w:left="0"/>
            </w:pPr>
          </w:p>
        </w:tc>
        <w:tc>
          <w:tcPr>
            <w:tcW w:w="719" w:type="dxa"/>
          </w:tcPr>
          <w:p w14:paraId="094E0000" w14:textId="77777777" w:rsidR="00421E11" w:rsidRDefault="00421E11" w:rsidP="009C6638">
            <w:pPr>
              <w:pStyle w:val="Clausenonumber"/>
              <w:ind w:left="0"/>
            </w:pPr>
          </w:p>
        </w:tc>
      </w:tr>
      <w:tr w:rsidR="007F54A4" w14:paraId="28E9FFCB" w14:textId="77777777" w:rsidTr="004A2126">
        <w:tc>
          <w:tcPr>
            <w:tcW w:w="2111" w:type="dxa"/>
            <w:shd w:val="clear" w:color="auto" w:fill="D9D9D9" w:themeFill="background1" w:themeFillShade="D9"/>
          </w:tcPr>
          <w:p w14:paraId="35B45F2F" w14:textId="77777777" w:rsidR="00091910" w:rsidRDefault="007F54A4" w:rsidP="009C6638">
            <w:pPr>
              <w:pStyle w:val="Clausenonumber"/>
              <w:ind w:left="0"/>
            </w:pPr>
            <w:r>
              <w:t>Cost</w:t>
            </w:r>
            <w:r w:rsidR="00E15160">
              <w:t xml:space="preserve"> (accuracy of estimates etc)</w:t>
            </w:r>
          </w:p>
          <w:p w14:paraId="63B45421" w14:textId="77777777" w:rsidR="007F54A4" w:rsidRDefault="007F54A4" w:rsidP="009C6638">
            <w:pPr>
              <w:pStyle w:val="Clausenonumber"/>
              <w:ind w:left="0"/>
            </w:pPr>
          </w:p>
        </w:tc>
        <w:tc>
          <w:tcPr>
            <w:tcW w:w="650" w:type="dxa"/>
          </w:tcPr>
          <w:p w14:paraId="180C6FD3" w14:textId="77777777" w:rsidR="00091910" w:rsidRDefault="00091910" w:rsidP="009C6638">
            <w:pPr>
              <w:pStyle w:val="Clausenonumber"/>
              <w:ind w:left="0"/>
            </w:pPr>
          </w:p>
        </w:tc>
        <w:tc>
          <w:tcPr>
            <w:tcW w:w="1610" w:type="dxa"/>
          </w:tcPr>
          <w:p w14:paraId="302AB277" w14:textId="77777777" w:rsidR="00091910" w:rsidRDefault="00091910" w:rsidP="009C6638">
            <w:pPr>
              <w:pStyle w:val="Clausenonumber"/>
              <w:ind w:left="0"/>
            </w:pPr>
          </w:p>
        </w:tc>
        <w:tc>
          <w:tcPr>
            <w:tcW w:w="1366" w:type="dxa"/>
          </w:tcPr>
          <w:p w14:paraId="710D5DA3" w14:textId="77777777" w:rsidR="00091910" w:rsidRDefault="00091910" w:rsidP="009C6638">
            <w:pPr>
              <w:pStyle w:val="Clausenonumber"/>
              <w:ind w:left="0"/>
            </w:pPr>
          </w:p>
        </w:tc>
        <w:tc>
          <w:tcPr>
            <w:tcW w:w="968" w:type="dxa"/>
          </w:tcPr>
          <w:p w14:paraId="28CE3153" w14:textId="77777777" w:rsidR="00091910" w:rsidRDefault="00091910" w:rsidP="009C6638">
            <w:pPr>
              <w:pStyle w:val="Clausenonumber"/>
              <w:ind w:left="0"/>
            </w:pPr>
          </w:p>
        </w:tc>
        <w:tc>
          <w:tcPr>
            <w:tcW w:w="1104" w:type="dxa"/>
          </w:tcPr>
          <w:p w14:paraId="0947016A" w14:textId="77777777" w:rsidR="00091910" w:rsidRDefault="00091910" w:rsidP="009C6638">
            <w:pPr>
              <w:pStyle w:val="Clausenonumber"/>
              <w:ind w:left="0"/>
            </w:pPr>
          </w:p>
        </w:tc>
        <w:tc>
          <w:tcPr>
            <w:tcW w:w="719" w:type="dxa"/>
          </w:tcPr>
          <w:p w14:paraId="040E0532" w14:textId="77777777" w:rsidR="00091910" w:rsidRDefault="00091910" w:rsidP="009C6638">
            <w:pPr>
              <w:pStyle w:val="Clausenonumber"/>
              <w:ind w:left="0"/>
            </w:pPr>
          </w:p>
        </w:tc>
      </w:tr>
      <w:tr w:rsidR="007F54A4" w14:paraId="5D9F55C8" w14:textId="77777777" w:rsidTr="004A2126">
        <w:tc>
          <w:tcPr>
            <w:tcW w:w="2111" w:type="dxa"/>
            <w:shd w:val="clear" w:color="auto" w:fill="D9D9D9" w:themeFill="background1" w:themeFillShade="D9"/>
          </w:tcPr>
          <w:p w14:paraId="3406E42A" w14:textId="77777777" w:rsidR="007F54A4" w:rsidRDefault="007F54A4" w:rsidP="009C6638">
            <w:pPr>
              <w:pStyle w:val="Clausenonumber"/>
              <w:ind w:left="0"/>
            </w:pPr>
            <w:r>
              <w:t>Recommend for future work?</w:t>
            </w:r>
          </w:p>
          <w:p w14:paraId="076BFBCC" w14:textId="77777777" w:rsidR="007F54A4" w:rsidRDefault="007F54A4" w:rsidP="009C6638">
            <w:pPr>
              <w:pStyle w:val="Clausenonumber"/>
              <w:ind w:left="0"/>
            </w:pPr>
          </w:p>
        </w:tc>
        <w:tc>
          <w:tcPr>
            <w:tcW w:w="3626" w:type="dxa"/>
            <w:gridSpan w:val="3"/>
            <w:shd w:val="clear" w:color="auto" w:fill="D9D9D9" w:themeFill="background1" w:themeFillShade="D9"/>
          </w:tcPr>
          <w:p w14:paraId="54A78119" w14:textId="77777777" w:rsidR="00E15160" w:rsidRDefault="00E15160" w:rsidP="009C6638">
            <w:pPr>
              <w:pStyle w:val="Clausenonumber"/>
              <w:ind w:left="0"/>
            </w:pPr>
          </w:p>
          <w:p w14:paraId="39107A91" w14:textId="77777777" w:rsidR="007F54A4" w:rsidRDefault="007F54A4" w:rsidP="009C6638">
            <w:pPr>
              <w:pStyle w:val="Clausenonumber"/>
              <w:ind w:left="0"/>
            </w:pPr>
            <w:r>
              <w:t xml:space="preserve">Yes </w:t>
            </w:r>
          </w:p>
        </w:tc>
        <w:tc>
          <w:tcPr>
            <w:tcW w:w="2791" w:type="dxa"/>
            <w:gridSpan w:val="3"/>
            <w:shd w:val="clear" w:color="auto" w:fill="D9D9D9" w:themeFill="background1" w:themeFillShade="D9"/>
          </w:tcPr>
          <w:p w14:paraId="483AE863" w14:textId="77777777" w:rsidR="00E15160" w:rsidRDefault="00E15160" w:rsidP="009C6638">
            <w:pPr>
              <w:pStyle w:val="Clausenonumber"/>
              <w:ind w:left="0"/>
            </w:pPr>
          </w:p>
          <w:p w14:paraId="16F20465" w14:textId="77777777" w:rsidR="007F54A4" w:rsidRDefault="007F54A4" w:rsidP="009C6638">
            <w:pPr>
              <w:pStyle w:val="Clausenonumber"/>
              <w:ind w:left="0"/>
            </w:pPr>
            <w:r>
              <w:t>No</w:t>
            </w:r>
          </w:p>
        </w:tc>
      </w:tr>
    </w:tbl>
    <w:p w14:paraId="44AAB13F" w14:textId="77777777" w:rsidR="00091910" w:rsidRDefault="00091910" w:rsidP="009C6638">
      <w:pPr>
        <w:pStyle w:val="Clausenonumber"/>
        <w:ind w:left="0"/>
      </w:pPr>
    </w:p>
    <w:tbl>
      <w:tblPr>
        <w:tblStyle w:val="TableGrid"/>
        <w:tblW w:w="0" w:type="auto"/>
        <w:tblLook w:val="04A0" w:firstRow="1" w:lastRow="0" w:firstColumn="1" w:lastColumn="0" w:noHBand="0" w:noVBand="1"/>
      </w:tblPr>
      <w:tblGrid>
        <w:gridCol w:w="8302"/>
      </w:tblGrid>
      <w:tr w:rsidR="007F54A4" w14:paraId="40E0D5DE" w14:textId="77777777" w:rsidTr="007F54A4">
        <w:tc>
          <w:tcPr>
            <w:tcW w:w="8528" w:type="dxa"/>
            <w:shd w:val="clear" w:color="auto" w:fill="D9D9D9" w:themeFill="background1" w:themeFillShade="D9"/>
          </w:tcPr>
          <w:p w14:paraId="635EA4B0" w14:textId="77777777" w:rsidR="007F54A4" w:rsidRDefault="007F54A4" w:rsidP="007F54A4">
            <w:pPr>
              <w:pStyle w:val="Clausenonumber"/>
              <w:ind w:left="0"/>
            </w:pPr>
            <w:r>
              <w:t>Additional comments on the contractor’s performance</w:t>
            </w:r>
          </w:p>
        </w:tc>
      </w:tr>
      <w:tr w:rsidR="007F54A4" w14:paraId="73FED421" w14:textId="77777777" w:rsidTr="007F54A4">
        <w:tc>
          <w:tcPr>
            <w:tcW w:w="8528" w:type="dxa"/>
          </w:tcPr>
          <w:p w14:paraId="0C798F00" w14:textId="77777777" w:rsidR="007F54A4" w:rsidRDefault="007F54A4" w:rsidP="009C6638">
            <w:pPr>
              <w:pStyle w:val="Clausenonumber"/>
              <w:ind w:left="0"/>
            </w:pPr>
          </w:p>
          <w:p w14:paraId="2E6FB550" w14:textId="77777777" w:rsidR="007F54A4" w:rsidRDefault="007F54A4" w:rsidP="009C6638">
            <w:pPr>
              <w:pStyle w:val="Clausenonumber"/>
              <w:ind w:left="0"/>
            </w:pPr>
          </w:p>
          <w:p w14:paraId="0E8B8E64" w14:textId="77777777" w:rsidR="00E15160" w:rsidRDefault="00E15160" w:rsidP="009C6638">
            <w:pPr>
              <w:pStyle w:val="Clausenonumber"/>
              <w:ind w:left="0"/>
            </w:pPr>
          </w:p>
          <w:p w14:paraId="1AE23B04" w14:textId="77777777" w:rsidR="007F54A4" w:rsidRDefault="007F54A4" w:rsidP="009C6638">
            <w:pPr>
              <w:pStyle w:val="Clausenonumber"/>
              <w:ind w:left="0"/>
            </w:pPr>
          </w:p>
        </w:tc>
      </w:tr>
    </w:tbl>
    <w:p w14:paraId="121CE15D" w14:textId="77777777" w:rsidR="00091910" w:rsidRDefault="00091910" w:rsidP="009C6638">
      <w:pPr>
        <w:pStyle w:val="Clausenonumber"/>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8302"/>
      </w:tblGrid>
      <w:tr w:rsidR="00983E11" w:rsidRPr="00797706" w14:paraId="536EE89D" w14:textId="77777777" w:rsidTr="00C554C8">
        <w:tc>
          <w:tcPr>
            <w:tcW w:w="8528" w:type="dxa"/>
            <w:shd w:val="clear" w:color="auto" w:fill="000000"/>
          </w:tcPr>
          <w:p w14:paraId="78FE6B7F" w14:textId="77777777" w:rsidR="00983E11" w:rsidRPr="00797706" w:rsidRDefault="00983E11" w:rsidP="00C554C8">
            <w:pPr>
              <w:pStyle w:val="Header"/>
              <w:tabs>
                <w:tab w:val="left" w:pos="1584"/>
                <w:tab w:val="left" w:pos="3456"/>
                <w:tab w:val="left" w:pos="9072"/>
              </w:tabs>
              <w:spacing w:before="120" w:after="120"/>
              <w:jc w:val="center"/>
              <w:rPr>
                <w:rFonts w:ascii="Arial" w:hAnsi="Arial" w:cs="Arial"/>
                <w:b/>
                <w:color w:val="FFFFFF"/>
                <w:sz w:val="22"/>
              </w:rPr>
            </w:pPr>
            <w:r w:rsidRPr="00797706">
              <w:rPr>
                <w:rFonts w:ascii="Arial" w:hAnsi="Arial" w:cs="Arial"/>
                <w:b/>
                <w:color w:val="FFFFFF"/>
                <w:sz w:val="22"/>
              </w:rPr>
              <w:t>END OF DOCUMENT</w:t>
            </w:r>
          </w:p>
        </w:tc>
      </w:tr>
    </w:tbl>
    <w:p w14:paraId="60DEA414" w14:textId="77777777" w:rsidR="00983E11" w:rsidRDefault="00983E11" w:rsidP="007F54A4">
      <w:pPr>
        <w:rPr>
          <w:sz w:val="22"/>
        </w:rPr>
      </w:pPr>
    </w:p>
    <w:sectPr w:rsidR="00983E11">
      <w:headerReference w:type="even" r:id="rId27"/>
      <w:headerReference w:type="default" r:id="rId28"/>
      <w:footerReference w:type="even" r:id="rId29"/>
      <w:footerReference w:type="default" r:id="rId30"/>
      <w:headerReference w:type="first" r:id="rId31"/>
      <w:footerReference w:type="first" r:id="rId32"/>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15EBFC" w14:textId="77777777" w:rsidR="00C14C97" w:rsidRDefault="00C14C97">
      <w:r>
        <w:separator/>
      </w:r>
    </w:p>
  </w:endnote>
  <w:endnote w:type="continuationSeparator" w:id="0">
    <w:p w14:paraId="667AF15D" w14:textId="77777777" w:rsidR="00C14C97" w:rsidRDefault="00C14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Nova">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DC933" w14:textId="77777777" w:rsidR="0017158A" w:rsidRDefault="001715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D52C4" w14:textId="77777777" w:rsidR="00222BCA" w:rsidRPr="00812103" w:rsidRDefault="00222BCA">
    <w:pPr>
      <w:rPr>
        <w:rFonts w:ascii="Arial" w:hAnsi="Arial" w:cs="Arial"/>
        <w:sz w:val="16"/>
        <w:szCs w:val="16"/>
      </w:rPr>
    </w:pPr>
  </w:p>
  <w:tbl>
    <w:tblPr>
      <w:tblW w:w="0" w:type="auto"/>
      <w:tblLook w:val="0000" w:firstRow="0" w:lastRow="0" w:firstColumn="0" w:lastColumn="0" w:noHBand="0" w:noVBand="0"/>
    </w:tblPr>
    <w:tblGrid>
      <w:gridCol w:w="3830"/>
      <w:gridCol w:w="1795"/>
      <w:gridCol w:w="2687"/>
    </w:tblGrid>
    <w:tr w:rsidR="00222BCA" w14:paraId="7FA387F9" w14:textId="77777777">
      <w:tc>
        <w:tcPr>
          <w:tcW w:w="3930" w:type="dxa"/>
        </w:tcPr>
        <w:p w14:paraId="261CE17A" w14:textId="77777777" w:rsidR="00222BCA" w:rsidRDefault="00222BCA" w:rsidP="0086512B">
          <w:pPr>
            <w:pStyle w:val="Footer"/>
            <w:tabs>
              <w:tab w:val="clear" w:pos="8306"/>
              <w:tab w:val="right" w:pos="4153"/>
              <w:tab w:val="right" w:pos="8280"/>
            </w:tabs>
            <w:rPr>
              <w:rFonts w:ascii="Arial" w:hAnsi="Arial"/>
              <w:snapToGrid w:val="0"/>
              <w:sz w:val="16"/>
            </w:rPr>
          </w:pPr>
          <w:r>
            <w:rPr>
              <w:rFonts w:ascii="Arial" w:hAnsi="Arial"/>
              <w:snapToGrid w:val="0"/>
              <w:sz w:val="16"/>
            </w:rPr>
            <w:t>SCHEME CONDITIONS</w:t>
          </w:r>
          <w:r>
            <w:rPr>
              <w:rFonts w:ascii="Arial" w:hAnsi="Arial"/>
              <w:snapToGrid w:val="0"/>
              <w:sz w:val="16"/>
            </w:rPr>
            <w:br/>
            <w:t>Prequalification Scheme</w:t>
          </w:r>
          <w:r w:rsidR="001E12DE">
            <w:rPr>
              <w:rFonts w:ascii="Arial" w:hAnsi="Arial"/>
              <w:snapToGrid w:val="0"/>
              <w:sz w:val="16"/>
            </w:rPr>
            <w:t xml:space="preserve"> for General Construction Works Valued up to $1Million </w:t>
          </w:r>
        </w:p>
      </w:tc>
      <w:tc>
        <w:tcPr>
          <w:tcW w:w="1828" w:type="dxa"/>
        </w:tcPr>
        <w:p w14:paraId="3D02C89B" w14:textId="60C5268F" w:rsidR="00222BCA" w:rsidRDefault="0017158A" w:rsidP="0047213E">
          <w:pPr>
            <w:pStyle w:val="Footer"/>
            <w:tabs>
              <w:tab w:val="clear" w:pos="8306"/>
              <w:tab w:val="right" w:pos="4153"/>
              <w:tab w:val="right" w:pos="8280"/>
            </w:tabs>
            <w:jc w:val="center"/>
            <w:rPr>
              <w:rFonts w:ascii="Arial" w:hAnsi="Arial"/>
              <w:snapToGrid w:val="0"/>
              <w:sz w:val="16"/>
            </w:rPr>
          </w:pPr>
          <w:r>
            <w:rPr>
              <w:rFonts w:ascii="Arial" w:hAnsi="Arial"/>
              <w:snapToGrid w:val="0"/>
              <w:sz w:val="16"/>
            </w:rPr>
            <w:t>December 2017</w:t>
          </w:r>
        </w:p>
      </w:tc>
      <w:tc>
        <w:tcPr>
          <w:tcW w:w="2770" w:type="dxa"/>
        </w:tcPr>
        <w:p w14:paraId="2ED6C07F" w14:textId="6B5BBCAB" w:rsidR="00222BCA" w:rsidRDefault="00222BCA">
          <w:pPr>
            <w:pStyle w:val="Footer"/>
            <w:tabs>
              <w:tab w:val="clear" w:pos="8306"/>
              <w:tab w:val="right" w:pos="4153"/>
              <w:tab w:val="right" w:pos="8280"/>
            </w:tabs>
            <w:jc w:val="right"/>
            <w:rPr>
              <w:rFonts w:ascii="Arial" w:hAnsi="Arial"/>
              <w:snapToGrid w:val="0"/>
              <w:sz w:val="16"/>
            </w:rPr>
          </w:pPr>
          <w:r>
            <w:rPr>
              <w:rStyle w:val="PageNumber"/>
              <w:rFonts w:ascii="Arial" w:hAnsi="Arial" w:cs="Arial"/>
              <w:sz w:val="16"/>
            </w:rPr>
            <w:t xml:space="preserve">Page </w:t>
          </w:r>
          <w:r>
            <w:rPr>
              <w:rStyle w:val="PageNumber"/>
              <w:rFonts w:ascii="Arial" w:hAnsi="Arial" w:cs="Arial"/>
              <w:sz w:val="16"/>
            </w:rPr>
            <w:fldChar w:fldCharType="begin"/>
          </w:r>
          <w:r>
            <w:rPr>
              <w:rStyle w:val="PageNumber"/>
              <w:rFonts w:ascii="Arial" w:hAnsi="Arial" w:cs="Arial"/>
              <w:sz w:val="16"/>
            </w:rPr>
            <w:instrText xml:space="preserve">PAGE  </w:instrText>
          </w:r>
          <w:r>
            <w:rPr>
              <w:rStyle w:val="PageNumber"/>
              <w:rFonts w:ascii="Arial" w:hAnsi="Arial" w:cs="Arial"/>
              <w:sz w:val="16"/>
            </w:rPr>
            <w:fldChar w:fldCharType="separate"/>
          </w:r>
          <w:r w:rsidR="00AE5E83">
            <w:rPr>
              <w:rStyle w:val="PageNumber"/>
              <w:rFonts w:ascii="Arial" w:hAnsi="Arial" w:cs="Arial"/>
              <w:noProof/>
              <w:sz w:val="16"/>
            </w:rPr>
            <w:t>14</w:t>
          </w:r>
          <w:r>
            <w:rPr>
              <w:rStyle w:val="PageNumber"/>
              <w:rFonts w:ascii="Arial" w:hAnsi="Arial" w:cs="Arial"/>
              <w:sz w:val="16"/>
            </w:rPr>
            <w:fldChar w:fldCharType="end"/>
          </w:r>
        </w:p>
      </w:tc>
    </w:tr>
  </w:tbl>
  <w:p w14:paraId="3FA4525E" w14:textId="77777777" w:rsidR="00222BCA" w:rsidRDefault="00222BCA">
    <w:pPr>
      <w:pStyle w:val="Footer"/>
      <w:tabs>
        <w:tab w:val="clear" w:pos="8306"/>
        <w:tab w:val="right" w:pos="4153"/>
        <w:tab w:val="right" w:pos="8280"/>
      </w:tabs>
      <w:rPr>
        <w:rFonts w:ascii="Arial" w:hAnsi="Arial"/>
        <w:snapToGrid w:val="0"/>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5724D" w14:textId="77777777" w:rsidR="0017158A" w:rsidRDefault="00171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682D65" w14:textId="77777777" w:rsidR="00C14C97" w:rsidRDefault="00C14C97">
      <w:r>
        <w:separator/>
      </w:r>
    </w:p>
  </w:footnote>
  <w:footnote w:type="continuationSeparator" w:id="0">
    <w:p w14:paraId="4BBFDA37" w14:textId="77777777" w:rsidR="00C14C97" w:rsidRDefault="00C14C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78C4D" w14:textId="77777777" w:rsidR="0017158A" w:rsidRDefault="001715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84907" w14:textId="77777777" w:rsidR="0017158A" w:rsidRDefault="001715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E7F07" w14:textId="77777777" w:rsidR="0017158A" w:rsidRDefault="001715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FE026E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11FD38A8"/>
    <w:multiLevelType w:val="hybridMultilevel"/>
    <w:tmpl w:val="9BDCEBCE"/>
    <w:lvl w:ilvl="0" w:tplc="4372D2EC">
      <w:start w:val="24"/>
      <w:numFmt w:val="bullet"/>
      <w:lvlText w:val="-"/>
      <w:lvlJc w:val="left"/>
      <w:pPr>
        <w:ind w:left="360" w:hanging="360"/>
      </w:pPr>
      <w:rPr>
        <w:rFonts w:ascii="Calibri" w:eastAsia="Times New Roman"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8E5094E"/>
    <w:multiLevelType w:val="hybridMultilevel"/>
    <w:tmpl w:val="F9389EDE"/>
    <w:lvl w:ilvl="0" w:tplc="760C2F90">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2A00057B"/>
    <w:multiLevelType w:val="hybridMultilevel"/>
    <w:tmpl w:val="F20688A0"/>
    <w:lvl w:ilvl="0" w:tplc="4372D2EC">
      <w:start w:val="24"/>
      <w:numFmt w:val="bullet"/>
      <w:lvlText w:val="-"/>
      <w:lvlJc w:val="left"/>
      <w:pPr>
        <w:ind w:left="360" w:hanging="360"/>
      </w:pPr>
      <w:rPr>
        <w:rFonts w:ascii="Calibri" w:eastAsia="Times New Roman"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B32496D"/>
    <w:multiLevelType w:val="multilevel"/>
    <w:tmpl w:val="434073E4"/>
    <w:lvl w:ilvl="0">
      <w:start w:val="1"/>
      <w:numFmt w:val="decimal"/>
      <w:pStyle w:val="ClauseHeading"/>
      <w:lvlText w:val="%1."/>
      <w:lvlJc w:val="left"/>
      <w:pPr>
        <w:ind w:left="360" w:hanging="360"/>
      </w:pPr>
      <w:rPr>
        <w:rFonts w:hint="default"/>
      </w:rPr>
    </w:lvl>
    <w:lvl w:ilvl="1">
      <w:start w:val="1"/>
      <w:numFmt w:val="decimal"/>
      <w:pStyle w:val="Clausenumber"/>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2BB6FEA"/>
    <w:multiLevelType w:val="hybridMultilevel"/>
    <w:tmpl w:val="E6A836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38E1545"/>
    <w:multiLevelType w:val="hybridMultilevel"/>
    <w:tmpl w:val="3574EE8C"/>
    <w:lvl w:ilvl="0" w:tplc="4372D2EC">
      <w:start w:val="24"/>
      <w:numFmt w:val="bullet"/>
      <w:lvlText w:val="-"/>
      <w:lvlJc w:val="left"/>
      <w:pPr>
        <w:ind w:left="360" w:hanging="360"/>
      </w:pPr>
      <w:rPr>
        <w:rFonts w:ascii="Calibri" w:eastAsia="Times New Roman"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A1B51D3"/>
    <w:multiLevelType w:val="hybridMultilevel"/>
    <w:tmpl w:val="3198E1E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491A3B0A"/>
    <w:multiLevelType w:val="hybridMultilevel"/>
    <w:tmpl w:val="74E28AC6"/>
    <w:lvl w:ilvl="0" w:tplc="4372D2EC">
      <w:start w:val="24"/>
      <w:numFmt w:val="bullet"/>
      <w:lvlText w:val="-"/>
      <w:lvlJc w:val="left"/>
      <w:pPr>
        <w:ind w:left="360" w:hanging="360"/>
      </w:pPr>
      <w:rPr>
        <w:rFonts w:ascii="Calibri" w:eastAsia="Times New Roman"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9BD1B43"/>
    <w:multiLevelType w:val="hybridMultilevel"/>
    <w:tmpl w:val="C9FEABFC"/>
    <w:lvl w:ilvl="0" w:tplc="4372D2EC">
      <w:start w:val="24"/>
      <w:numFmt w:val="bullet"/>
      <w:lvlText w:val="-"/>
      <w:lvlJc w:val="left"/>
      <w:pPr>
        <w:ind w:left="360" w:hanging="360"/>
      </w:pPr>
      <w:rPr>
        <w:rFonts w:ascii="Calibri" w:eastAsia="Times New Roman" w:hAnsi="Calibri" w:cs="Calibri" w:hint="default"/>
      </w:rPr>
    </w:lvl>
    <w:lvl w:ilvl="1" w:tplc="4372D2EC">
      <w:start w:val="24"/>
      <w:numFmt w:val="bullet"/>
      <w:lvlText w:val="-"/>
      <w:lvlJc w:val="left"/>
      <w:pPr>
        <w:ind w:left="1080" w:hanging="360"/>
      </w:pPr>
      <w:rPr>
        <w:rFonts w:ascii="Calibri" w:eastAsia="Times New Roman" w:hAnsi="Calibri" w:cs="Calibri"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A833A67"/>
    <w:multiLevelType w:val="hybridMultilevel"/>
    <w:tmpl w:val="6B7013BA"/>
    <w:lvl w:ilvl="0" w:tplc="4372D2EC">
      <w:start w:val="24"/>
      <w:numFmt w:val="bullet"/>
      <w:lvlText w:val="-"/>
      <w:lvlJc w:val="left"/>
      <w:pPr>
        <w:ind w:left="360" w:hanging="360"/>
      </w:pPr>
      <w:rPr>
        <w:rFonts w:ascii="Calibri" w:eastAsia="Times New Roman"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C7F7B9E"/>
    <w:multiLevelType w:val="hybridMultilevel"/>
    <w:tmpl w:val="EDF43AA0"/>
    <w:lvl w:ilvl="0" w:tplc="9F6EE91E">
      <w:start w:val="1"/>
      <w:numFmt w:val="lowerLetter"/>
      <w:lvlText w:val="(%1)"/>
      <w:lvlJc w:val="left"/>
      <w:pPr>
        <w:ind w:left="1080" w:hanging="360"/>
      </w:pPr>
      <w:rPr>
        <w:rFonts w:hint="default"/>
        <w:b w:val="0"/>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6FAD08EB"/>
    <w:multiLevelType w:val="hybridMultilevel"/>
    <w:tmpl w:val="AA9E0B54"/>
    <w:lvl w:ilvl="0" w:tplc="4372D2EC">
      <w:start w:val="24"/>
      <w:numFmt w:val="bullet"/>
      <w:lvlText w:val="-"/>
      <w:lvlJc w:val="left"/>
      <w:pPr>
        <w:ind w:left="360" w:hanging="360"/>
      </w:pPr>
      <w:rPr>
        <w:rFonts w:ascii="Calibri" w:eastAsia="Times New Roman"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1F5148F"/>
    <w:multiLevelType w:val="hybridMultilevel"/>
    <w:tmpl w:val="EA4AB67A"/>
    <w:lvl w:ilvl="0" w:tplc="4372D2EC">
      <w:start w:val="2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BBB1708"/>
    <w:multiLevelType w:val="hybridMultilevel"/>
    <w:tmpl w:val="71ECD99E"/>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num w:numId="1">
    <w:abstractNumId w:val="0"/>
  </w:num>
  <w:num w:numId="2">
    <w:abstractNumId w:val="7"/>
  </w:num>
  <w:num w:numId="3">
    <w:abstractNumId w:val="2"/>
  </w:num>
  <w:num w:numId="4">
    <w:abstractNumId w:val="11"/>
  </w:num>
  <w:num w:numId="5">
    <w:abstractNumId w:val="4"/>
  </w:num>
  <w:num w:numId="6">
    <w:abstractNumId w:val="13"/>
  </w:num>
  <w:num w:numId="7">
    <w:abstractNumId w:val="1"/>
  </w:num>
  <w:num w:numId="8">
    <w:abstractNumId w:val="12"/>
  </w:num>
  <w:num w:numId="9">
    <w:abstractNumId w:val="6"/>
  </w:num>
  <w:num w:numId="10">
    <w:abstractNumId w:val="9"/>
  </w:num>
  <w:num w:numId="11">
    <w:abstractNumId w:val="8"/>
  </w:num>
  <w:num w:numId="12">
    <w:abstractNumId w:val="3"/>
  </w:num>
  <w:num w:numId="13">
    <w:abstractNumId w:val="10"/>
  </w:num>
  <w:num w:numId="14">
    <w:abstractNumId w:val="14"/>
  </w:num>
  <w:num w:numId="15">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0E1"/>
    <w:rsid w:val="000000C9"/>
    <w:rsid w:val="00005262"/>
    <w:rsid w:val="00013A21"/>
    <w:rsid w:val="0001434E"/>
    <w:rsid w:val="00024BB6"/>
    <w:rsid w:val="000322DA"/>
    <w:rsid w:val="000332B3"/>
    <w:rsid w:val="000332F0"/>
    <w:rsid w:val="00033E08"/>
    <w:rsid w:val="00034A20"/>
    <w:rsid w:val="00041A08"/>
    <w:rsid w:val="0004238E"/>
    <w:rsid w:val="000430C0"/>
    <w:rsid w:val="0004507F"/>
    <w:rsid w:val="00050AE4"/>
    <w:rsid w:val="00052A33"/>
    <w:rsid w:val="00053F25"/>
    <w:rsid w:val="00055954"/>
    <w:rsid w:val="0005761C"/>
    <w:rsid w:val="00060CFD"/>
    <w:rsid w:val="00063312"/>
    <w:rsid w:val="00063943"/>
    <w:rsid w:val="0007076A"/>
    <w:rsid w:val="00071581"/>
    <w:rsid w:val="00082D8B"/>
    <w:rsid w:val="000831CD"/>
    <w:rsid w:val="00083D25"/>
    <w:rsid w:val="00084482"/>
    <w:rsid w:val="000849C5"/>
    <w:rsid w:val="0008584D"/>
    <w:rsid w:val="00086EE7"/>
    <w:rsid w:val="00091910"/>
    <w:rsid w:val="0009275E"/>
    <w:rsid w:val="000954B4"/>
    <w:rsid w:val="000A1990"/>
    <w:rsid w:val="000A3AB0"/>
    <w:rsid w:val="000A4AD5"/>
    <w:rsid w:val="000B0F97"/>
    <w:rsid w:val="000C6A4A"/>
    <w:rsid w:val="000D0364"/>
    <w:rsid w:val="000D1D5C"/>
    <w:rsid w:val="000D5741"/>
    <w:rsid w:val="000D7A6A"/>
    <w:rsid w:val="000E259F"/>
    <w:rsid w:val="000E33C6"/>
    <w:rsid w:val="000E4091"/>
    <w:rsid w:val="000E47E3"/>
    <w:rsid w:val="000F14EF"/>
    <w:rsid w:val="000F1A1E"/>
    <w:rsid w:val="000F2CBA"/>
    <w:rsid w:val="000F71A4"/>
    <w:rsid w:val="000F7231"/>
    <w:rsid w:val="00100B09"/>
    <w:rsid w:val="0010317E"/>
    <w:rsid w:val="00103FA1"/>
    <w:rsid w:val="00106D8F"/>
    <w:rsid w:val="00107FDF"/>
    <w:rsid w:val="001174B6"/>
    <w:rsid w:val="001178B8"/>
    <w:rsid w:val="0012044F"/>
    <w:rsid w:val="0012089B"/>
    <w:rsid w:val="0012127C"/>
    <w:rsid w:val="00123141"/>
    <w:rsid w:val="0012395A"/>
    <w:rsid w:val="00126072"/>
    <w:rsid w:val="001279BA"/>
    <w:rsid w:val="001302E1"/>
    <w:rsid w:val="00134329"/>
    <w:rsid w:val="00140225"/>
    <w:rsid w:val="001426CD"/>
    <w:rsid w:val="0014473C"/>
    <w:rsid w:val="001465BC"/>
    <w:rsid w:val="0015084B"/>
    <w:rsid w:val="00150A59"/>
    <w:rsid w:val="00151C4C"/>
    <w:rsid w:val="00151C53"/>
    <w:rsid w:val="00152EB6"/>
    <w:rsid w:val="00153E15"/>
    <w:rsid w:val="001545E0"/>
    <w:rsid w:val="00154AB1"/>
    <w:rsid w:val="00154FCD"/>
    <w:rsid w:val="00156339"/>
    <w:rsid w:val="001565E4"/>
    <w:rsid w:val="00156831"/>
    <w:rsid w:val="00165A2C"/>
    <w:rsid w:val="00166DF6"/>
    <w:rsid w:val="001679DB"/>
    <w:rsid w:val="0017158A"/>
    <w:rsid w:val="001770F3"/>
    <w:rsid w:val="0018179C"/>
    <w:rsid w:val="00182C33"/>
    <w:rsid w:val="00184664"/>
    <w:rsid w:val="00190049"/>
    <w:rsid w:val="001907CF"/>
    <w:rsid w:val="00194890"/>
    <w:rsid w:val="001948D1"/>
    <w:rsid w:val="001A237B"/>
    <w:rsid w:val="001A2DAB"/>
    <w:rsid w:val="001A6A11"/>
    <w:rsid w:val="001B20F3"/>
    <w:rsid w:val="001B7694"/>
    <w:rsid w:val="001C00AF"/>
    <w:rsid w:val="001C0539"/>
    <w:rsid w:val="001C439B"/>
    <w:rsid w:val="001D275F"/>
    <w:rsid w:val="001D32BF"/>
    <w:rsid w:val="001D6B9B"/>
    <w:rsid w:val="001E12DE"/>
    <w:rsid w:val="001E4DF3"/>
    <w:rsid w:val="001E6F42"/>
    <w:rsid w:val="001E73DC"/>
    <w:rsid w:val="001F4635"/>
    <w:rsid w:val="001F558B"/>
    <w:rsid w:val="001F75CF"/>
    <w:rsid w:val="002006A8"/>
    <w:rsid w:val="00203406"/>
    <w:rsid w:val="00205378"/>
    <w:rsid w:val="00212999"/>
    <w:rsid w:val="00215515"/>
    <w:rsid w:val="00216BD4"/>
    <w:rsid w:val="00222662"/>
    <w:rsid w:val="00222BCA"/>
    <w:rsid w:val="0022351E"/>
    <w:rsid w:val="00224E59"/>
    <w:rsid w:val="00224F73"/>
    <w:rsid w:val="00236FDA"/>
    <w:rsid w:val="0024183E"/>
    <w:rsid w:val="00243416"/>
    <w:rsid w:val="0025104D"/>
    <w:rsid w:val="002518C2"/>
    <w:rsid w:val="00252298"/>
    <w:rsid w:val="0025298A"/>
    <w:rsid w:val="00253BE7"/>
    <w:rsid w:val="00256BC2"/>
    <w:rsid w:val="002604BD"/>
    <w:rsid w:val="00262880"/>
    <w:rsid w:val="002629E8"/>
    <w:rsid w:val="0026676C"/>
    <w:rsid w:val="00267B18"/>
    <w:rsid w:val="002701C7"/>
    <w:rsid w:val="002701D8"/>
    <w:rsid w:val="00272377"/>
    <w:rsid w:val="00272CCD"/>
    <w:rsid w:val="00275EBC"/>
    <w:rsid w:val="00277080"/>
    <w:rsid w:val="0028151F"/>
    <w:rsid w:val="002822AF"/>
    <w:rsid w:val="00290C47"/>
    <w:rsid w:val="00291EB4"/>
    <w:rsid w:val="00295886"/>
    <w:rsid w:val="00296D72"/>
    <w:rsid w:val="002A13BC"/>
    <w:rsid w:val="002A1412"/>
    <w:rsid w:val="002A2064"/>
    <w:rsid w:val="002A41A5"/>
    <w:rsid w:val="002A49FE"/>
    <w:rsid w:val="002A4A51"/>
    <w:rsid w:val="002A51EF"/>
    <w:rsid w:val="002A71A5"/>
    <w:rsid w:val="002B329C"/>
    <w:rsid w:val="002B5C87"/>
    <w:rsid w:val="002B7F51"/>
    <w:rsid w:val="002C1E39"/>
    <w:rsid w:val="002C7F96"/>
    <w:rsid w:val="002D440C"/>
    <w:rsid w:val="002F24C3"/>
    <w:rsid w:val="002F3D80"/>
    <w:rsid w:val="002F4D86"/>
    <w:rsid w:val="002F5584"/>
    <w:rsid w:val="002F6378"/>
    <w:rsid w:val="002F7E15"/>
    <w:rsid w:val="00300B70"/>
    <w:rsid w:val="00307F19"/>
    <w:rsid w:val="003122DF"/>
    <w:rsid w:val="00312729"/>
    <w:rsid w:val="00313624"/>
    <w:rsid w:val="003167A6"/>
    <w:rsid w:val="00320A37"/>
    <w:rsid w:val="00321628"/>
    <w:rsid w:val="00331B3D"/>
    <w:rsid w:val="0034077B"/>
    <w:rsid w:val="00340ADF"/>
    <w:rsid w:val="00341084"/>
    <w:rsid w:val="0034167D"/>
    <w:rsid w:val="00342C09"/>
    <w:rsid w:val="003437FA"/>
    <w:rsid w:val="003440CC"/>
    <w:rsid w:val="00344B88"/>
    <w:rsid w:val="003456BA"/>
    <w:rsid w:val="00346349"/>
    <w:rsid w:val="003525C3"/>
    <w:rsid w:val="00355BE4"/>
    <w:rsid w:val="00357914"/>
    <w:rsid w:val="003673A4"/>
    <w:rsid w:val="00372971"/>
    <w:rsid w:val="00374F4B"/>
    <w:rsid w:val="003763A6"/>
    <w:rsid w:val="00384159"/>
    <w:rsid w:val="00385238"/>
    <w:rsid w:val="0038652B"/>
    <w:rsid w:val="00386EB4"/>
    <w:rsid w:val="00387468"/>
    <w:rsid w:val="00387B40"/>
    <w:rsid w:val="0039048F"/>
    <w:rsid w:val="003944B4"/>
    <w:rsid w:val="00397DE1"/>
    <w:rsid w:val="003A1FE5"/>
    <w:rsid w:val="003A238B"/>
    <w:rsid w:val="003A623F"/>
    <w:rsid w:val="003B093A"/>
    <w:rsid w:val="003B4C56"/>
    <w:rsid w:val="003B5833"/>
    <w:rsid w:val="003B7F47"/>
    <w:rsid w:val="003C0629"/>
    <w:rsid w:val="003C36ED"/>
    <w:rsid w:val="003C62E5"/>
    <w:rsid w:val="003D3114"/>
    <w:rsid w:val="003D557F"/>
    <w:rsid w:val="003E022A"/>
    <w:rsid w:val="003E2D57"/>
    <w:rsid w:val="003E2E96"/>
    <w:rsid w:val="003E52EB"/>
    <w:rsid w:val="003E5DAF"/>
    <w:rsid w:val="003E619A"/>
    <w:rsid w:val="003E6235"/>
    <w:rsid w:val="003E7C12"/>
    <w:rsid w:val="003F07EA"/>
    <w:rsid w:val="003F3726"/>
    <w:rsid w:val="00400AD1"/>
    <w:rsid w:val="00403D65"/>
    <w:rsid w:val="00404371"/>
    <w:rsid w:val="004060C6"/>
    <w:rsid w:val="00407FAE"/>
    <w:rsid w:val="004119F4"/>
    <w:rsid w:val="0041324F"/>
    <w:rsid w:val="00414912"/>
    <w:rsid w:val="00421E11"/>
    <w:rsid w:val="00423502"/>
    <w:rsid w:val="00427173"/>
    <w:rsid w:val="0043723D"/>
    <w:rsid w:val="004444F7"/>
    <w:rsid w:val="0045122E"/>
    <w:rsid w:val="00454796"/>
    <w:rsid w:val="00464ACB"/>
    <w:rsid w:val="0046697D"/>
    <w:rsid w:val="0047213E"/>
    <w:rsid w:val="004763D0"/>
    <w:rsid w:val="004827E2"/>
    <w:rsid w:val="00482AA1"/>
    <w:rsid w:val="00485B37"/>
    <w:rsid w:val="00491D42"/>
    <w:rsid w:val="00491DFB"/>
    <w:rsid w:val="004924E4"/>
    <w:rsid w:val="004976B8"/>
    <w:rsid w:val="00497781"/>
    <w:rsid w:val="004A2126"/>
    <w:rsid w:val="004A237F"/>
    <w:rsid w:val="004A2FF7"/>
    <w:rsid w:val="004A32BC"/>
    <w:rsid w:val="004A3862"/>
    <w:rsid w:val="004A3F8B"/>
    <w:rsid w:val="004A40D3"/>
    <w:rsid w:val="004B0B47"/>
    <w:rsid w:val="004B0C5F"/>
    <w:rsid w:val="004B286A"/>
    <w:rsid w:val="004B38AD"/>
    <w:rsid w:val="004B6264"/>
    <w:rsid w:val="004B6804"/>
    <w:rsid w:val="004B76B6"/>
    <w:rsid w:val="004B7B0C"/>
    <w:rsid w:val="004C2973"/>
    <w:rsid w:val="004C37CC"/>
    <w:rsid w:val="004C478A"/>
    <w:rsid w:val="004C4AD3"/>
    <w:rsid w:val="004C5766"/>
    <w:rsid w:val="004D2F29"/>
    <w:rsid w:val="004D3FD6"/>
    <w:rsid w:val="004D74DB"/>
    <w:rsid w:val="004E5FD6"/>
    <w:rsid w:val="004E6947"/>
    <w:rsid w:val="004E7ECD"/>
    <w:rsid w:val="004F0B49"/>
    <w:rsid w:val="004F24E2"/>
    <w:rsid w:val="004F7819"/>
    <w:rsid w:val="004F7C65"/>
    <w:rsid w:val="00502943"/>
    <w:rsid w:val="00506713"/>
    <w:rsid w:val="005069B7"/>
    <w:rsid w:val="0050723A"/>
    <w:rsid w:val="00507F56"/>
    <w:rsid w:val="00511E02"/>
    <w:rsid w:val="00520561"/>
    <w:rsid w:val="00527897"/>
    <w:rsid w:val="00531875"/>
    <w:rsid w:val="005336A5"/>
    <w:rsid w:val="005373A0"/>
    <w:rsid w:val="00542655"/>
    <w:rsid w:val="005426CD"/>
    <w:rsid w:val="0055129C"/>
    <w:rsid w:val="00552865"/>
    <w:rsid w:val="00557A3D"/>
    <w:rsid w:val="00561F4D"/>
    <w:rsid w:val="00562718"/>
    <w:rsid w:val="00564524"/>
    <w:rsid w:val="00573EBC"/>
    <w:rsid w:val="00583DEA"/>
    <w:rsid w:val="00584AFB"/>
    <w:rsid w:val="005859C3"/>
    <w:rsid w:val="005963BF"/>
    <w:rsid w:val="005A03FF"/>
    <w:rsid w:val="005B161B"/>
    <w:rsid w:val="005B1ECA"/>
    <w:rsid w:val="005B3A51"/>
    <w:rsid w:val="005B468B"/>
    <w:rsid w:val="005C0843"/>
    <w:rsid w:val="005C270D"/>
    <w:rsid w:val="005C34BB"/>
    <w:rsid w:val="005C648F"/>
    <w:rsid w:val="005C68EC"/>
    <w:rsid w:val="005D18E2"/>
    <w:rsid w:val="005E1489"/>
    <w:rsid w:val="005E1637"/>
    <w:rsid w:val="005E2D7C"/>
    <w:rsid w:val="005E52C4"/>
    <w:rsid w:val="005E651C"/>
    <w:rsid w:val="005E6F5F"/>
    <w:rsid w:val="005F0E22"/>
    <w:rsid w:val="005F5028"/>
    <w:rsid w:val="005F5184"/>
    <w:rsid w:val="005F51E5"/>
    <w:rsid w:val="005F5BF9"/>
    <w:rsid w:val="005F654F"/>
    <w:rsid w:val="005F6DC3"/>
    <w:rsid w:val="005F7410"/>
    <w:rsid w:val="00600266"/>
    <w:rsid w:val="00600CA3"/>
    <w:rsid w:val="006069E5"/>
    <w:rsid w:val="00610A76"/>
    <w:rsid w:val="00614E06"/>
    <w:rsid w:val="00617915"/>
    <w:rsid w:val="00617E11"/>
    <w:rsid w:val="006220D3"/>
    <w:rsid w:val="00623429"/>
    <w:rsid w:val="00624754"/>
    <w:rsid w:val="00627919"/>
    <w:rsid w:val="00631000"/>
    <w:rsid w:val="00632FD0"/>
    <w:rsid w:val="006336A8"/>
    <w:rsid w:val="00636B53"/>
    <w:rsid w:val="00636DC0"/>
    <w:rsid w:val="00640F18"/>
    <w:rsid w:val="00641B53"/>
    <w:rsid w:val="00641D03"/>
    <w:rsid w:val="00642A6A"/>
    <w:rsid w:val="006437FF"/>
    <w:rsid w:val="00647F55"/>
    <w:rsid w:val="00653119"/>
    <w:rsid w:val="006534BA"/>
    <w:rsid w:val="00656898"/>
    <w:rsid w:val="0066009C"/>
    <w:rsid w:val="00664CC7"/>
    <w:rsid w:val="00666D11"/>
    <w:rsid w:val="0067313E"/>
    <w:rsid w:val="00673E94"/>
    <w:rsid w:val="00677015"/>
    <w:rsid w:val="00692625"/>
    <w:rsid w:val="00693D33"/>
    <w:rsid w:val="006945AF"/>
    <w:rsid w:val="006953A0"/>
    <w:rsid w:val="00695A8C"/>
    <w:rsid w:val="006960FA"/>
    <w:rsid w:val="00697D8A"/>
    <w:rsid w:val="006A24A9"/>
    <w:rsid w:val="006A5C40"/>
    <w:rsid w:val="006A630A"/>
    <w:rsid w:val="006A6484"/>
    <w:rsid w:val="006A7041"/>
    <w:rsid w:val="006A7F88"/>
    <w:rsid w:val="006B6585"/>
    <w:rsid w:val="006C25B3"/>
    <w:rsid w:val="006C31C8"/>
    <w:rsid w:val="006C3319"/>
    <w:rsid w:val="006C447F"/>
    <w:rsid w:val="006C7879"/>
    <w:rsid w:val="006D292C"/>
    <w:rsid w:val="006D29FA"/>
    <w:rsid w:val="006D6659"/>
    <w:rsid w:val="006E1944"/>
    <w:rsid w:val="007016D0"/>
    <w:rsid w:val="0070520B"/>
    <w:rsid w:val="00707477"/>
    <w:rsid w:val="00710562"/>
    <w:rsid w:val="00713CDA"/>
    <w:rsid w:val="007143F1"/>
    <w:rsid w:val="00715238"/>
    <w:rsid w:val="0072186C"/>
    <w:rsid w:val="007242B4"/>
    <w:rsid w:val="00727E6B"/>
    <w:rsid w:val="007310DC"/>
    <w:rsid w:val="00737344"/>
    <w:rsid w:val="00737589"/>
    <w:rsid w:val="007421E5"/>
    <w:rsid w:val="00745D9C"/>
    <w:rsid w:val="00750DA5"/>
    <w:rsid w:val="0075351E"/>
    <w:rsid w:val="00756B77"/>
    <w:rsid w:val="007644CA"/>
    <w:rsid w:val="00767574"/>
    <w:rsid w:val="007715E0"/>
    <w:rsid w:val="00772D14"/>
    <w:rsid w:val="00776C58"/>
    <w:rsid w:val="00782EAC"/>
    <w:rsid w:val="00787352"/>
    <w:rsid w:val="00787AEE"/>
    <w:rsid w:val="00793AE1"/>
    <w:rsid w:val="00794BB8"/>
    <w:rsid w:val="00795082"/>
    <w:rsid w:val="0079653B"/>
    <w:rsid w:val="00797130"/>
    <w:rsid w:val="007A1371"/>
    <w:rsid w:val="007A3F32"/>
    <w:rsid w:val="007A5F59"/>
    <w:rsid w:val="007B16C4"/>
    <w:rsid w:val="007B1A76"/>
    <w:rsid w:val="007C4797"/>
    <w:rsid w:val="007C48E8"/>
    <w:rsid w:val="007C56C9"/>
    <w:rsid w:val="007C5DAB"/>
    <w:rsid w:val="007D220B"/>
    <w:rsid w:val="007D5A40"/>
    <w:rsid w:val="007D66ED"/>
    <w:rsid w:val="007D76CA"/>
    <w:rsid w:val="007E3C8D"/>
    <w:rsid w:val="007E6508"/>
    <w:rsid w:val="007E6E2D"/>
    <w:rsid w:val="007F0500"/>
    <w:rsid w:val="007F54A4"/>
    <w:rsid w:val="007F5F50"/>
    <w:rsid w:val="007F625C"/>
    <w:rsid w:val="007F668F"/>
    <w:rsid w:val="00802081"/>
    <w:rsid w:val="00803E47"/>
    <w:rsid w:val="008105D6"/>
    <w:rsid w:val="008110C4"/>
    <w:rsid w:val="00811307"/>
    <w:rsid w:val="00812103"/>
    <w:rsid w:val="0082119B"/>
    <w:rsid w:val="008212CC"/>
    <w:rsid w:val="0082169B"/>
    <w:rsid w:val="008229A0"/>
    <w:rsid w:val="0082386B"/>
    <w:rsid w:val="00824671"/>
    <w:rsid w:val="00825F69"/>
    <w:rsid w:val="00826D25"/>
    <w:rsid w:val="0082797D"/>
    <w:rsid w:val="00827AB9"/>
    <w:rsid w:val="0083044A"/>
    <w:rsid w:val="008311D2"/>
    <w:rsid w:val="008341D6"/>
    <w:rsid w:val="008343B7"/>
    <w:rsid w:val="008360E9"/>
    <w:rsid w:val="0083634A"/>
    <w:rsid w:val="008363C2"/>
    <w:rsid w:val="008405C6"/>
    <w:rsid w:val="00845369"/>
    <w:rsid w:val="0085716F"/>
    <w:rsid w:val="008601D2"/>
    <w:rsid w:val="00860651"/>
    <w:rsid w:val="0086425C"/>
    <w:rsid w:val="0086512B"/>
    <w:rsid w:val="00872079"/>
    <w:rsid w:val="00872102"/>
    <w:rsid w:val="00872D0F"/>
    <w:rsid w:val="00877E20"/>
    <w:rsid w:val="008807BB"/>
    <w:rsid w:val="0088179A"/>
    <w:rsid w:val="00881E44"/>
    <w:rsid w:val="00884078"/>
    <w:rsid w:val="00884D37"/>
    <w:rsid w:val="00893FF1"/>
    <w:rsid w:val="008950E4"/>
    <w:rsid w:val="0089523A"/>
    <w:rsid w:val="008A4590"/>
    <w:rsid w:val="008A6AE8"/>
    <w:rsid w:val="008A6EBF"/>
    <w:rsid w:val="008B0338"/>
    <w:rsid w:val="008B102A"/>
    <w:rsid w:val="008B5E42"/>
    <w:rsid w:val="008B5E9F"/>
    <w:rsid w:val="008B6118"/>
    <w:rsid w:val="008C0653"/>
    <w:rsid w:val="008C394F"/>
    <w:rsid w:val="008C76F3"/>
    <w:rsid w:val="008D0629"/>
    <w:rsid w:val="008D2ADF"/>
    <w:rsid w:val="008D36B6"/>
    <w:rsid w:val="008D4678"/>
    <w:rsid w:val="008D58B9"/>
    <w:rsid w:val="008D67E4"/>
    <w:rsid w:val="008D6CBF"/>
    <w:rsid w:val="008D7705"/>
    <w:rsid w:val="008E1A10"/>
    <w:rsid w:val="008E1D88"/>
    <w:rsid w:val="008E5F0D"/>
    <w:rsid w:val="008E7A55"/>
    <w:rsid w:val="008F050F"/>
    <w:rsid w:val="008F0D88"/>
    <w:rsid w:val="008F2319"/>
    <w:rsid w:val="008F2700"/>
    <w:rsid w:val="008F68B1"/>
    <w:rsid w:val="008F7E83"/>
    <w:rsid w:val="00900A42"/>
    <w:rsid w:val="009012D2"/>
    <w:rsid w:val="009019B9"/>
    <w:rsid w:val="00901CFB"/>
    <w:rsid w:val="009029DE"/>
    <w:rsid w:val="00903201"/>
    <w:rsid w:val="009122D6"/>
    <w:rsid w:val="00913AF4"/>
    <w:rsid w:val="00914741"/>
    <w:rsid w:val="00915BCC"/>
    <w:rsid w:val="009162BB"/>
    <w:rsid w:val="0091707F"/>
    <w:rsid w:val="00917F7D"/>
    <w:rsid w:val="00922771"/>
    <w:rsid w:val="009243EE"/>
    <w:rsid w:val="009258EE"/>
    <w:rsid w:val="009261C5"/>
    <w:rsid w:val="0092636D"/>
    <w:rsid w:val="00930525"/>
    <w:rsid w:val="009311F8"/>
    <w:rsid w:val="009322DE"/>
    <w:rsid w:val="009338E7"/>
    <w:rsid w:val="00934013"/>
    <w:rsid w:val="00934B29"/>
    <w:rsid w:val="00936C54"/>
    <w:rsid w:val="009434E7"/>
    <w:rsid w:val="009442BA"/>
    <w:rsid w:val="009444B1"/>
    <w:rsid w:val="009467B4"/>
    <w:rsid w:val="00947A05"/>
    <w:rsid w:val="0095487A"/>
    <w:rsid w:val="0095565C"/>
    <w:rsid w:val="00960371"/>
    <w:rsid w:val="0097709B"/>
    <w:rsid w:val="00981260"/>
    <w:rsid w:val="00981B86"/>
    <w:rsid w:val="00983E11"/>
    <w:rsid w:val="00992410"/>
    <w:rsid w:val="00994262"/>
    <w:rsid w:val="009A10EF"/>
    <w:rsid w:val="009A2200"/>
    <w:rsid w:val="009A4854"/>
    <w:rsid w:val="009A5A84"/>
    <w:rsid w:val="009A6256"/>
    <w:rsid w:val="009B0648"/>
    <w:rsid w:val="009B0842"/>
    <w:rsid w:val="009B1A63"/>
    <w:rsid w:val="009B253C"/>
    <w:rsid w:val="009B3E01"/>
    <w:rsid w:val="009B3E7D"/>
    <w:rsid w:val="009B4B08"/>
    <w:rsid w:val="009B7D0D"/>
    <w:rsid w:val="009C0E5C"/>
    <w:rsid w:val="009C5F49"/>
    <w:rsid w:val="009C6638"/>
    <w:rsid w:val="009D0B62"/>
    <w:rsid w:val="009D3727"/>
    <w:rsid w:val="009D5F97"/>
    <w:rsid w:val="009E187D"/>
    <w:rsid w:val="009E29F5"/>
    <w:rsid w:val="009E5721"/>
    <w:rsid w:val="009F25F7"/>
    <w:rsid w:val="009F453C"/>
    <w:rsid w:val="009F46D9"/>
    <w:rsid w:val="009F4C81"/>
    <w:rsid w:val="009F7824"/>
    <w:rsid w:val="00A03505"/>
    <w:rsid w:val="00A05B2C"/>
    <w:rsid w:val="00A064A2"/>
    <w:rsid w:val="00A0696D"/>
    <w:rsid w:val="00A123E1"/>
    <w:rsid w:val="00A13BE1"/>
    <w:rsid w:val="00A14CED"/>
    <w:rsid w:val="00A231CB"/>
    <w:rsid w:val="00A23255"/>
    <w:rsid w:val="00A235B1"/>
    <w:rsid w:val="00A23D6D"/>
    <w:rsid w:val="00A262E3"/>
    <w:rsid w:val="00A3450C"/>
    <w:rsid w:val="00A426F0"/>
    <w:rsid w:val="00A44854"/>
    <w:rsid w:val="00A52257"/>
    <w:rsid w:val="00A56C49"/>
    <w:rsid w:val="00A62DD1"/>
    <w:rsid w:val="00A66824"/>
    <w:rsid w:val="00A66B23"/>
    <w:rsid w:val="00A720E4"/>
    <w:rsid w:val="00A77BDC"/>
    <w:rsid w:val="00A90B69"/>
    <w:rsid w:val="00A95C20"/>
    <w:rsid w:val="00A95F4F"/>
    <w:rsid w:val="00AA46B6"/>
    <w:rsid w:val="00AA592C"/>
    <w:rsid w:val="00AA60ED"/>
    <w:rsid w:val="00AA6A11"/>
    <w:rsid w:val="00AB672E"/>
    <w:rsid w:val="00AC1CCE"/>
    <w:rsid w:val="00AC1DB8"/>
    <w:rsid w:val="00AC2835"/>
    <w:rsid w:val="00AC3B93"/>
    <w:rsid w:val="00AC7F64"/>
    <w:rsid w:val="00AD0AFB"/>
    <w:rsid w:val="00AE0C1D"/>
    <w:rsid w:val="00AE3130"/>
    <w:rsid w:val="00AE5E83"/>
    <w:rsid w:val="00AE701C"/>
    <w:rsid w:val="00AF2B65"/>
    <w:rsid w:val="00AF6AFE"/>
    <w:rsid w:val="00AF6B4A"/>
    <w:rsid w:val="00B00F26"/>
    <w:rsid w:val="00B03588"/>
    <w:rsid w:val="00B04ABF"/>
    <w:rsid w:val="00B04EAA"/>
    <w:rsid w:val="00B05C22"/>
    <w:rsid w:val="00B072E9"/>
    <w:rsid w:val="00B07C0F"/>
    <w:rsid w:val="00B07CAA"/>
    <w:rsid w:val="00B1060B"/>
    <w:rsid w:val="00B154C1"/>
    <w:rsid w:val="00B156BE"/>
    <w:rsid w:val="00B174EB"/>
    <w:rsid w:val="00B2084B"/>
    <w:rsid w:val="00B2169D"/>
    <w:rsid w:val="00B230A2"/>
    <w:rsid w:val="00B25EEA"/>
    <w:rsid w:val="00B269D5"/>
    <w:rsid w:val="00B2776F"/>
    <w:rsid w:val="00B305FC"/>
    <w:rsid w:val="00B30865"/>
    <w:rsid w:val="00B32811"/>
    <w:rsid w:val="00B40729"/>
    <w:rsid w:val="00B41378"/>
    <w:rsid w:val="00B442AD"/>
    <w:rsid w:val="00B44DDD"/>
    <w:rsid w:val="00B4536D"/>
    <w:rsid w:val="00B45803"/>
    <w:rsid w:val="00B4742B"/>
    <w:rsid w:val="00B503A7"/>
    <w:rsid w:val="00B50F7E"/>
    <w:rsid w:val="00B514CF"/>
    <w:rsid w:val="00B56231"/>
    <w:rsid w:val="00B6288B"/>
    <w:rsid w:val="00B6326C"/>
    <w:rsid w:val="00B63BF6"/>
    <w:rsid w:val="00B64111"/>
    <w:rsid w:val="00B71DEE"/>
    <w:rsid w:val="00B7226A"/>
    <w:rsid w:val="00B726DB"/>
    <w:rsid w:val="00B72ADF"/>
    <w:rsid w:val="00B730A8"/>
    <w:rsid w:val="00B7464D"/>
    <w:rsid w:val="00B74A83"/>
    <w:rsid w:val="00B81E5A"/>
    <w:rsid w:val="00B8504E"/>
    <w:rsid w:val="00B87907"/>
    <w:rsid w:val="00B902AB"/>
    <w:rsid w:val="00B96A66"/>
    <w:rsid w:val="00B979EF"/>
    <w:rsid w:val="00BA6720"/>
    <w:rsid w:val="00BB0117"/>
    <w:rsid w:val="00BB2E35"/>
    <w:rsid w:val="00BB670C"/>
    <w:rsid w:val="00BB7981"/>
    <w:rsid w:val="00BB7C94"/>
    <w:rsid w:val="00BC1BB8"/>
    <w:rsid w:val="00BC58FF"/>
    <w:rsid w:val="00BC6A60"/>
    <w:rsid w:val="00BC7993"/>
    <w:rsid w:val="00BD0E04"/>
    <w:rsid w:val="00BD1C7B"/>
    <w:rsid w:val="00BD3602"/>
    <w:rsid w:val="00BD4F54"/>
    <w:rsid w:val="00BD6666"/>
    <w:rsid w:val="00BE05C2"/>
    <w:rsid w:val="00BE0725"/>
    <w:rsid w:val="00BE0E48"/>
    <w:rsid w:val="00BE224A"/>
    <w:rsid w:val="00BE548E"/>
    <w:rsid w:val="00BE6015"/>
    <w:rsid w:val="00BF172C"/>
    <w:rsid w:val="00BF1B6B"/>
    <w:rsid w:val="00BF3F9C"/>
    <w:rsid w:val="00C006AE"/>
    <w:rsid w:val="00C02455"/>
    <w:rsid w:val="00C04FF5"/>
    <w:rsid w:val="00C07C02"/>
    <w:rsid w:val="00C12337"/>
    <w:rsid w:val="00C12F8F"/>
    <w:rsid w:val="00C14C97"/>
    <w:rsid w:val="00C1573F"/>
    <w:rsid w:val="00C218B5"/>
    <w:rsid w:val="00C23745"/>
    <w:rsid w:val="00C23FE2"/>
    <w:rsid w:val="00C2508B"/>
    <w:rsid w:val="00C278B6"/>
    <w:rsid w:val="00C312EB"/>
    <w:rsid w:val="00C35C1B"/>
    <w:rsid w:val="00C378EA"/>
    <w:rsid w:val="00C412CE"/>
    <w:rsid w:val="00C42FBC"/>
    <w:rsid w:val="00C432F1"/>
    <w:rsid w:val="00C43DAC"/>
    <w:rsid w:val="00C46432"/>
    <w:rsid w:val="00C511E7"/>
    <w:rsid w:val="00C54258"/>
    <w:rsid w:val="00C554C8"/>
    <w:rsid w:val="00C557B1"/>
    <w:rsid w:val="00C60AA7"/>
    <w:rsid w:val="00C62E08"/>
    <w:rsid w:val="00C648CE"/>
    <w:rsid w:val="00C65898"/>
    <w:rsid w:val="00C70DBA"/>
    <w:rsid w:val="00C710D3"/>
    <w:rsid w:val="00C7121A"/>
    <w:rsid w:val="00C715B3"/>
    <w:rsid w:val="00C75B51"/>
    <w:rsid w:val="00C77EFC"/>
    <w:rsid w:val="00C805E5"/>
    <w:rsid w:val="00C8263E"/>
    <w:rsid w:val="00C83B78"/>
    <w:rsid w:val="00C84C5E"/>
    <w:rsid w:val="00C85F2C"/>
    <w:rsid w:val="00C8776E"/>
    <w:rsid w:val="00C91ABA"/>
    <w:rsid w:val="00C96409"/>
    <w:rsid w:val="00CA4E46"/>
    <w:rsid w:val="00CB00FB"/>
    <w:rsid w:val="00CC32B2"/>
    <w:rsid w:val="00CD109B"/>
    <w:rsid w:val="00CD1B35"/>
    <w:rsid w:val="00CE5C64"/>
    <w:rsid w:val="00CE6FA6"/>
    <w:rsid w:val="00CF4DE3"/>
    <w:rsid w:val="00D003AA"/>
    <w:rsid w:val="00D0084B"/>
    <w:rsid w:val="00D04A6B"/>
    <w:rsid w:val="00D11896"/>
    <w:rsid w:val="00D128B8"/>
    <w:rsid w:val="00D13CD3"/>
    <w:rsid w:val="00D15646"/>
    <w:rsid w:val="00D166F5"/>
    <w:rsid w:val="00D16872"/>
    <w:rsid w:val="00D17AC3"/>
    <w:rsid w:val="00D218CC"/>
    <w:rsid w:val="00D22D79"/>
    <w:rsid w:val="00D24A39"/>
    <w:rsid w:val="00D2753D"/>
    <w:rsid w:val="00D33554"/>
    <w:rsid w:val="00D429CD"/>
    <w:rsid w:val="00D47F4E"/>
    <w:rsid w:val="00D50FCD"/>
    <w:rsid w:val="00D5108B"/>
    <w:rsid w:val="00D627DD"/>
    <w:rsid w:val="00D67835"/>
    <w:rsid w:val="00D705DD"/>
    <w:rsid w:val="00D759DB"/>
    <w:rsid w:val="00D838AE"/>
    <w:rsid w:val="00D848DB"/>
    <w:rsid w:val="00D85064"/>
    <w:rsid w:val="00DA3519"/>
    <w:rsid w:val="00DA4121"/>
    <w:rsid w:val="00DA4A8C"/>
    <w:rsid w:val="00DA597A"/>
    <w:rsid w:val="00DA63BA"/>
    <w:rsid w:val="00DA735C"/>
    <w:rsid w:val="00DA76CD"/>
    <w:rsid w:val="00DB1C6C"/>
    <w:rsid w:val="00DB419D"/>
    <w:rsid w:val="00DC0382"/>
    <w:rsid w:val="00DC269A"/>
    <w:rsid w:val="00DC387C"/>
    <w:rsid w:val="00DC46B4"/>
    <w:rsid w:val="00DD3C5D"/>
    <w:rsid w:val="00DD4128"/>
    <w:rsid w:val="00DD7B78"/>
    <w:rsid w:val="00DF0A07"/>
    <w:rsid w:val="00DF1608"/>
    <w:rsid w:val="00DF527E"/>
    <w:rsid w:val="00DF5FA7"/>
    <w:rsid w:val="00DF732E"/>
    <w:rsid w:val="00DF7C45"/>
    <w:rsid w:val="00E00F41"/>
    <w:rsid w:val="00E07195"/>
    <w:rsid w:val="00E1111B"/>
    <w:rsid w:val="00E15160"/>
    <w:rsid w:val="00E17DEF"/>
    <w:rsid w:val="00E25185"/>
    <w:rsid w:val="00E256D7"/>
    <w:rsid w:val="00E305FC"/>
    <w:rsid w:val="00E31AA7"/>
    <w:rsid w:val="00E3378A"/>
    <w:rsid w:val="00E36632"/>
    <w:rsid w:val="00E41129"/>
    <w:rsid w:val="00E42554"/>
    <w:rsid w:val="00E427B7"/>
    <w:rsid w:val="00E42C3A"/>
    <w:rsid w:val="00E45235"/>
    <w:rsid w:val="00E453D8"/>
    <w:rsid w:val="00E47C61"/>
    <w:rsid w:val="00E5006D"/>
    <w:rsid w:val="00E53B5D"/>
    <w:rsid w:val="00E54A1B"/>
    <w:rsid w:val="00E54FB4"/>
    <w:rsid w:val="00E560D1"/>
    <w:rsid w:val="00E6040D"/>
    <w:rsid w:val="00E60A12"/>
    <w:rsid w:val="00E61CF0"/>
    <w:rsid w:val="00E62240"/>
    <w:rsid w:val="00E6536F"/>
    <w:rsid w:val="00E70841"/>
    <w:rsid w:val="00E711D1"/>
    <w:rsid w:val="00E73397"/>
    <w:rsid w:val="00E74845"/>
    <w:rsid w:val="00E75755"/>
    <w:rsid w:val="00E7792E"/>
    <w:rsid w:val="00E809C3"/>
    <w:rsid w:val="00E83B7B"/>
    <w:rsid w:val="00E86459"/>
    <w:rsid w:val="00E86BD6"/>
    <w:rsid w:val="00E87A91"/>
    <w:rsid w:val="00E91F22"/>
    <w:rsid w:val="00E928DF"/>
    <w:rsid w:val="00E957DF"/>
    <w:rsid w:val="00EA29D4"/>
    <w:rsid w:val="00EA330A"/>
    <w:rsid w:val="00EA49B2"/>
    <w:rsid w:val="00EA6DAE"/>
    <w:rsid w:val="00EA727E"/>
    <w:rsid w:val="00EB206A"/>
    <w:rsid w:val="00EB3197"/>
    <w:rsid w:val="00EB41B8"/>
    <w:rsid w:val="00EB442D"/>
    <w:rsid w:val="00EC08FF"/>
    <w:rsid w:val="00EC4087"/>
    <w:rsid w:val="00EC5F85"/>
    <w:rsid w:val="00EC60E1"/>
    <w:rsid w:val="00ED6A02"/>
    <w:rsid w:val="00ED6F81"/>
    <w:rsid w:val="00EF007C"/>
    <w:rsid w:val="00EF0C7A"/>
    <w:rsid w:val="00EF23C9"/>
    <w:rsid w:val="00EF3723"/>
    <w:rsid w:val="00EF3C8A"/>
    <w:rsid w:val="00EF5D75"/>
    <w:rsid w:val="00EF61A3"/>
    <w:rsid w:val="00EF7F50"/>
    <w:rsid w:val="00EF7FA7"/>
    <w:rsid w:val="00F030A5"/>
    <w:rsid w:val="00F03C42"/>
    <w:rsid w:val="00F06328"/>
    <w:rsid w:val="00F07317"/>
    <w:rsid w:val="00F13DBB"/>
    <w:rsid w:val="00F15D15"/>
    <w:rsid w:val="00F20A09"/>
    <w:rsid w:val="00F22905"/>
    <w:rsid w:val="00F248AE"/>
    <w:rsid w:val="00F258F2"/>
    <w:rsid w:val="00F26ABD"/>
    <w:rsid w:val="00F30D1B"/>
    <w:rsid w:val="00F3754E"/>
    <w:rsid w:val="00F37F57"/>
    <w:rsid w:val="00F41EFF"/>
    <w:rsid w:val="00F436D0"/>
    <w:rsid w:val="00F445CA"/>
    <w:rsid w:val="00F44EA2"/>
    <w:rsid w:val="00F506F6"/>
    <w:rsid w:val="00F57103"/>
    <w:rsid w:val="00F60552"/>
    <w:rsid w:val="00F708F8"/>
    <w:rsid w:val="00F766B1"/>
    <w:rsid w:val="00F81895"/>
    <w:rsid w:val="00F83D1D"/>
    <w:rsid w:val="00F86B43"/>
    <w:rsid w:val="00F87A7B"/>
    <w:rsid w:val="00F91A32"/>
    <w:rsid w:val="00F91EF9"/>
    <w:rsid w:val="00F93E38"/>
    <w:rsid w:val="00F96C3E"/>
    <w:rsid w:val="00F9765A"/>
    <w:rsid w:val="00FA6C0F"/>
    <w:rsid w:val="00FA7EE4"/>
    <w:rsid w:val="00FB15EF"/>
    <w:rsid w:val="00FB22B0"/>
    <w:rsid w:val="00FB3A34"/>
    <w:rsid w:val="00FC0380"/>
    <w:rsid w:val="00FC0FF3"/>
    <w:rsid w:val="00FC10D8"/>
    <w:rsid w:val="00FC1B6A"/>
    <w:rsid w:val="00FC2514"/>
    <w:rsid w:val="00FC4B7C"/>
    <w:rsid w:val="00FC51BC"/>
    <w:rsid w:val="00FD1334"/>
    <w:rsid w:val="00FD1A15"/>
    <w:rsid w:val="00FD208E"/>
    <w:rsid w:val="00FD3CF0"/>
    <w:rsid w:val="00FD554D"/>
    <w:rsid w:val="00FD6597"/>
    <w:rsid w:val="00FE1BCA"/>
    <w:rsid w:val="00FE602B"/>
    <w:rsid w:val="00FF1D4C"/>
    <w:rsid w:val="00FF3442"/>
    <w:rsid w:val="00FF5A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0C5E565"/>
  <w15:docId w15:val="{C4B6EFF1-F781-47AC-B056-674594691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ind w:left="3600"/>
      <w:outlineLvl w:val="0"/>
    </w:pPr>
    <w:rPr>
      <w:rFonts w:ascii="Arial" w:hAnsi="Arial" w:cs="Arial"/>
      <w:b/>
      <w:bCs/>
    </w:rPr>
  </w:style>
  <w:style w:type="paragraph" w:styleId="Heading2">
    <w:name w:val="heading 2"/>
    <w:basedOn w:val="Normal"/>
    <w:next w:val="Normal"/>
    <w:qFormat/>
    <w:pPr>
      <w:keepNext/>
      <w:outlineLvl w:val="1"/>
    </w:pPr>
    <w:rPr>
      <w:rFonts w:ascii="Arial" w:hAnsi="Arial"/>
      <w:b/>
      <w:szCs w:val="20"/>
      <w:lang w:val="en-US"/>
    </w:rPr>
  </w:style>
  <w:style w:type="paragraph" w:styleId="Heading3">
    <w:name w:val="heading 3"/>
    <w:basedOn w:val="Normal"/>
    <w:next w:val="Normal"/>
    <w:qFormat/>
    <w:pPr>
      <w:keepNext/>
      <w:outlineLvl w:val="2"/>
    </w:pPr>
    <w:rPr>
      <w:b/>
      <w:szCs w:val="20"/>
      <w:lang w:val="en-US"/>
    </w:rPr>
  </w:style>
  <w:style w:type="paragraph" w:styleId="Heading4">
    <w:name w:val="heading 4"/>
    <w:basedOn w:val="Normal"/>
    <w:next w:val="Normal"/>
    <w:qFormat/>
    <w:pPr>
      <w:keepNext/>
      <w:jc w:val="both"/>
      <w:outlineLvl w:val="3"/>
    </w:pPr>
    <w:rPr>
      <w:b/>
      <w:szCs w:val="20"/>
      <w:lang w:val="en-US"/>
    </w:rPr>
  </w:style>
  <w:style w:type="paragraph" w:styleId="Heading5">
    <w:name w:val="heading 5"/>
    <w:basedOn w:val="Normal"/>
    <w:next w:val="Normal"/>
    <w:qFormat/>
    <w:pPr>
      <w:keepNext/>
      <w:jc w:val="center"/>
      <w:outlineLvl w:val="4"/>
    </w:pPr>
    <w:rPr>
      <w:b/>
      <w:sz w:val="20"/>
      <w:szCs w:val="20"/>
      <w:lang w:val="en-US"/>
    </w:rPr>
  </w:style>
  <w:style w:type="paragraph" w:styleId="Heading6">
    <w:name w:val="heading 6"/>
    <w:basedOn w:val="Normal"/>
    <w:next w:val="Normal"/>
    <w:qFormat/>
    <w:pPr>
      <w:keepNext/>
      <w:outlineLvl w:val="5"/>
    </w:pPr>
    <w:rPr>
      <w:b/>
      <w:sz w:val="20"/>
      <w:szCs w:val="20"/>
      <w:lang w:val="en-US"/>
    </w:rPr>
  </w:style>
  <w:style w:type="paragraph" w:styleId="Heading7">
    <w:name w:val="heading 7"/>
    <w:basedOn w:val="Normal"/>
    <w:next w:val="Normal"/>
    <w:qFormat/>
    <w:pPr>
      <w:keepNext/>
      <w:outlineLvl w:val="6"/>
    </w:pPr>
    <w:rPr>
      <w:b/>
      <w:sz w:val="18"/>
      <w:szCs w:val="20"/>
      <w:lang w:val="en-US"/>
    </w:rPr>
  </w:style>
  <w:style w:type="paragraph" w:styleId="Heading8">
    <w:name w:val="heading 8"/>
    <w:basedOn w:val="Normal"/>
    <w:next w:val="Normal"/>
    <w:qFormat/>
    <w:pPr>
      <w:keepNext/>
      <w:jc w:val="both"/>
      <w:outlineLvl w:val="7"/>
    </w:pPr>
    <w:rPr>
      <w:b/>
      <w:sz w:val="22"/>
      <w:szCs w:val="20"/>
      <w:lang w:val="en-US"/>
    </w:rPr>
  </w:style>
  <w:style w:type="paragraph" w:styleId="Heading9">
    <w:name w:val="heading 9"/>
    <w:basedOn w:val="Normal"/>
    <w:next w:val="Normal"/>
    <w:qFormat/>
    <w:pPr>
      <w:keepNext/>
      <w:jc w:val="center"/>
      <w:outlineLvl w:val="8"/>
    </w:pPr>
    <w:rPr>
      <w:b/>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2"/>
      <w:szCs w:val="20"/>
      <w:lang w:val="en-US"/>
    </w:rPr>
  </w:style>
  <w:style w:type="paragraph" w:customStyle="1" w:styleId="tablebody">
    <w:name w:val="table body"/>
    <w:basedOn w:val="Normal"/>
    <w:pPr>
      <w:spacing w:before="60" w:after="60"/>
    </w:pPr>
    <w:rPr>
      <w:rFonts w:ascii="Arial" w:hAnsi="Arial"/>
      <w:sz w:val="22"/>
      <w:szCs w:val="20"/>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3">
    <w:name w:val="Body Text 3"/>
    <w:basedOn w:val="Normal"/>
    <w:rPr>
      <w:sz w:val="22"/>
      <w:szCs w:val="20"/>
      <w:lang w:val="en-US"/>
    </w:rPr>
  </w:style>
  <w:style w:type="paragraph" w:styleId="BodyText2">
    <w:name w:val="Body Text 2"/>
    <w:basedOn w:val="Normal"/>
    <w:link w:val="BodyText2Char"/>
    <w:pPr>
      <w:jc w:val="both"/>
    </w:pPr>
    <w:rPr>
      <w:rFonts w:ascii="Arial" w:hAnsi="Arial" w:cs="Arial"/>
    </w:rPr>
  </w:style>
  <w:style w:type="paragraph" w:styleId="NormalIndent">
    <w:name w:val="Normal Indent"/>
    <w:basedOn w:val="Normal"/>
    <w:pPr>
      <w:ind w:left="1418"/>
    </w:pPr>
    <w:rPr>
      <w:szCs w:val="20"/>
    </w:rPr>
  </w:style>
  <w:style w:type="paragraph" w:styleId="BodyTextIndent">
    <w:name w:val="Body Text Indent"/>
    <w:basedOn w:val="Normal"/>
    <w:pPr>
      <w:ind w:left="360"/>
      <w:jc w:val="both"/>
    </w:pPr>
    <w:rPr>
      <w:rFonts w:ascii="Arial" w:hAnsi="Arial" w:cs="Arial"/>
    </w:rPr>
  </w:style>
  <w:style w:type="paragraph" w:styleId="BodyTextIndent3">
    <w:name w:val="Body Text Indent 3"/>
    <w:basedOn w:val="Normal"/>
    <w:pPr>
      <w:ind w:left="340"/>
    </w:pPr>
    <w:rPr>
      <w:rFonts w:ascii="Arial" w:hAnsi="Arial" w:cs="Arial"/>
      <w:sz w:val="22"/>
      <w:szCs w:val="20"/>
      <w:lang w:val="en-US"/>
    </w:rPr>
  </w:style>
  <w:style w:type="character" w:styleId="Hyperlink">
    <w:name w:val="Hyperlink"/>
    <w:uiPriority w:val="99"/>
    <w:rPr>
      <w:color w:val="0000FF"/>
      <w:u w:val="single"/>
    </w:rPr>
  </w:style>
  <w:style w:type="paragraph" w:styleId="List">
    <w:name w:val="List"/>
    <w:basedOn w:val="Normal"/>
    <w:pPr>
      <w:ind w:left="283" w:hanging="283"/>
    </w:pPr>
  </w:style>
  <w:style w:type="paragraph" w:styleId="List2">
    <w:name w:val="List 2"/>
    <w:basedOn w:val="Normal"/>
    <w:pPr>
      <w:ind w:left="566" w:hanging="283"/>
    </w:pPr>
  </w:style>
  <w:style w:type="paragraph" w:styleId="ListBullet">
    <w:name w:val="List Bullet"/>
    <w:basedOn w:val="Normal"/>
    <w:autoRedefine/>
    <w:pPr>
      <w:ind w:left="90"/>
      <w:jc w:val="both"/>
    </w:pPr>
    <w:rPr>
      <w:rFonts w:ascii="Arial" w:hAnsi="Arial" w:cs="Arial"/>
      <w:sz w:val="22"/>
    </w:rPr>
  </w:style>
  <w:style w:type="paragraph" w:styleId="ListBullet2">
    <w:name w:val="List Bullet 2"/>
    <w:basedOn w:val="Normal"/>
    <w:autoRedefine/>
    <w:pPr>
      <w:numPr>
        <w:numId w:val="1"/>
      </w:numPr>
    </w:pPr>
  </w:style>
  <w:style w:type="paragraph" w:styleId="ListContinue">
    <w:name w:val="List Continue"/>
    <w:basedOn w:val="Normal"/>
    <w:pPr>
      <w:spacing w:after="120"/>
      <w:ind w:left="283"/>
    </w:pPr>
  </w:style>
  <w:style w:type="paragraph" w:customStyle="1" w:styleId="TableTextLeft">
    <w:name w:val="Table Text Left"/>
    <w:basedOn w:val="Normal"/>
    <w:rPr>
      <w:sz w:val="20"/>
      <w:szCs w:val="20"/>
      <w:lang w:val="en-US"/>
    </w:rPr>
  </w:style>
  <w:style w:type="paragraph" w:styleId="TOC1">
    <w:name w:val="toc 1"/>
    <w:basedOn w:val="Normal"/>
    <w:autoRedefine/>
    <w:semiHidden/>
    <w:pPr>
      <w:numPr>
        <w:ilvl w:val="12"/>
      </w:numPr>
      <w:spacing w:before="120"/>
    </w:pPr>
    <w:rPr>
      <w:rFonts w:ascii="Arial" w:hAnsi="Arial"/>
      <w:b/>
      <w:bCs/>
      <w:sz w:val="22"/>
      <w:szCs w:val="20"/>
    </w:rPr>
  </w:style>
  <w:style w:type="paragraph" w:customStyle="1" w:styleId="listhead">
    <w:name w:val="list head"/>
    <w:basedOn w:val="Normal"/>
    <w:pPr>
      <w:tabs>
        <w:tab w:val="left" w:pos="576"/>
        <w:tab w:val="left" w:pos="1296"/>
        <w:tab w:val="left" w:pos="2016"/>
        <w:tab w:val="left" w:pos="2736"/>
        <w:tab w:val="left" w:pos="3456"/>
        <w:tab w:val="left" w:pos="4176"/>
        <w:tab w:val="left" w:pos="4896"/>
        <w:tab w:val="left" w:pos="5616"/>
        <w:tab w:val="left" w:pos="6336"/>
        <w:tab w:val="left" w:pos="7056"/>
        <w:tab w:val="left" w:pos="7776"/>
      </w:tabs>
    </w:pPr>
    <w:rPr>
      <w:rFonts w:ascii="Arial" w:hAnsi="Arial"/>
      <w:b/>
      <w:sz w:val="28"/>
      <w:szCs w:val="20"/>
    </w:rPr>
  </w:style>
  <w:style w:type="paragraph" w:customStyle="1" w:styleId="TableTextCentred">
    <w:name w:val="Table Text Centred"/>
    <w:basedOn w:val="TableTextRight"/>
    <w:pPr>
      <w:jc w:val="center"/>
    </w:pPr>
  </w:style>
  <w:style w:type="paragraph" w:customStyle="1" w:styleId="TableTextRight">
    <w:name w:val="Table Text Right"/>
    <w:basedOn w:val="TableTextLeft"/>
    <w:pPr>
      <w:jc w:val="right"/>
    </w:pPr>
  </w:style>
  <w:style w:type="character" w:styleId="PageNumber">
    <w:name w:val="page number"/>
    <w:basedOn w:val="DefaultParagraphFont"/>
  </w:style>
  <w:style w:type="paragraph" w:styleId="FootnoteText">
    <w:name w:val="footnote text"/>
    <w:basedOn w:val="Normal"/>
    <w:semiHidden/>
    <w:rPr>
      <w:szCs w:val="20"/>
    </w:rPr>
  </w:style>
  <w:style w:type="paragraph" w:styleId="TOC2">
    <w:name w:val="toc 2"/>
    <w:basedOn w:val="Normal"/>
    <w:next w:val="Normal"/>
    <w:autoRedefine/>
    <w:semiHidden/>
    <w:pPr>
      <w:ind w:left="240"/>
    </w:pPr>
    <w:rPr>
      <w:rFonts w:ascii="Arial" w:hAnsi="Arial"/>
    </w:rPr>
  </w:style>
  <w:style w:type="paragraph" w:styleId="TOC3">
    <w:name w:val="toc 3"/>
    <w:basedOn w:val="Normal"/>
    <w:next w:val="Normal"/>
    <w:autoRedefine/>
    <w:semiHidden/>
    <w:pPr>
      <w:ind w:left="480"/>
    </w:pPr>
    <w:rPr>
      <w:rFonts w:ascii="Arial" w:hAnsi="Arial"/>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indent2">
    <w:name w:val="indent2"/>
    <w:basedOn w:val="Normal"/>
    <w:pPr>
      <w:ind w:left="720"/>
      <w:jc w:val="both"/>
    </w:pPr>
    <w:rPr>
      <w:rFonts w:ascii="CG Omega" w:hAnsi="CG Omega"/>
      <w:sz w:val="20"/>
      <w:szCs w:val="20"/>
    </w:rPr>
  </w:style>
  <w:style w:type="paragraph" w:customStyle="1" w:styleId="indent4">
    <w:name w:val="indent4"/>
    <w:basedOn w:val="indent2"/>
    <w:pPr>
      <w:ind w:left="2160" w:hanging="720"/>
    </w:pPr>
  </w:style>
  <w:style w:type="paragraph" w:styleId="BodyTextIndent2">
    <w:name w:val="Body Text Indent 2"/>
    <w:basedOn w:val="Normal"/>
    <w:pPr>
      <w:ind w:left="360"/>
    </w:pPr>
    <w:rPr>
      <w:rFonts w:ascii="Arial" w:hAnsi="Arial" w:cs="Arial"/>
    </w:rPr>
  </w:style>
  <w:style w:type="paragraph" w:customStyle="1" w:styleId="HeadingBase">
    <w:name w:val="Heading Base"/>
    <w:basedOn w:val="Normal"/>
    <w:next w:val="BodyText"/>
    <w:pPr>
      <w:keepNext/>
      <w:keepLines/>
      <w:spacing w:before="360" w:after="120" w:line="360" w:lineRule="atLeast"/>
    </w:pPr>
    <w:rPr>
      <w:rFonts w:ascii="Arial" w:hAnsi="Arial"/>
      <w:b/>
      <w:kern w:val="28"/>
      <w:sz w:val="28"/>
      <w:szCs w:val="20"/>
      <w:lang w:val="en-US"/>
    </w:rPr>
  </w:style>
  <w:style w:type="paragraph" w:styleId="Title">
    <w:name w:val="Title"/>
    <w:basedOn w:val="Normal"/>
    <w:qFormat/>
    <w:pPr>
      <w:jc w:val="center"/>
    </w:pPr>
    <w:rPr>
      <w:rFonts w:ascii="Arial" w:hAnsi="Arial"/>
      <w:b/>
      <w:szCs w:val="20"/>
    </w:rPr>
  </w:style>
  <w:style w:type="character" w:styleId="FollowedHyperlink">
    <w:name w:val="FollowedHyperlink"/>
    <w:rPr>
      <w:color w:val="800080"/>
      <w:u w:val="single"/>
    </w:rPr>
  </w:style>
  <w:style w:type="paragraph" w:styleId="MacroText">
    <w:name w:val="macro"/>
    <w:basedOn w:val="BodyText"/>
    <w:semiHidden/>
    <w:pPr>
      <w:spacing w:after="120"/>
      <w:jc w:val="left"/>
    </w:pPr>
    <w:rPr>
      <w:rFonts w:ascii="Courier New" w:hAnsi="Courier New"/>
      <w:sz w:val="20"/>
    </w:rPr>
  </w:style>
  <w:style w:type="paragraph" w:styleId="BlockText">
    <w:name w:val="Block Text"/>
    <w:basedOn w:val="Normal"/>
    <w:pPr>
      <w:ind w:left="121" w:right="132"/>
    </w:pPr>
    <w:rPr>
      <w:rFonts w:ascii="Times" w:hAnsi="Times"/>
      <w:sz w:val="21"/>
    </w:rPr>
  </w:style>
  <w:style w:type="paragraph" w:customStyle="1" w:styleId="Paragraph">
    <w:name w:val="Paragraph"/>
    <w:basedOn w:val="Normal"/>
    <w:link w:val="ParagraphChar"/>
    <w:qFormat/>
    <w:pPr>
      <w:spacing w:after="60"/>
      <w:ind w:left="737"/>
      <w:jc w:val="both"/>
    </w:pPr>
    <w:rPr>
      <w:color w:val="000000"/>
      <w:sz w:val="22"/>
      <w:szCs w:val="20"/>
    </w:rPr>
  </w:style>
  <w:style w:type="character" w:styleId="Strong">
    <w:name w:val="Strong"/>
    <w:uiPriority w:val="22"/>
    <w:qFormat/>
    <w:rPr>
      <w:b/>
      <w:bCs/>
    </w:rPr>
  </w:style>
  <w:style w:type="table" w:styleId="TableGrid">
    <w:name w:val="Table Grid"/>
    <w:basedOn w:val="TableNormal"/>
    <w:rsid w:val="00EA72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CommentReference">
    <w:name w:val="annotation reference"/>
    <w:rsid w:val="009B0842"/>
    <w:rPr>
      <w:sz w:val="16"/>
      <w:szCs w:val="16"/>
    </w:rPr>
  </w:style>
  <w:style w:type="paragraph" w:styleId="CommentText">
    <w:name w:val="annotation text"/>
    <w:basedOn w:val="Normal"/>
    <w:link w:val="CommentTextChar"/>
    <w:rsid w:val="009B0842"/>
    <w:rPr>
      <w:sz w:val="20"/>
      <w:szCs w:val="20"/>
    </w:rPr>
  </w:style>
  <w:style w:type="character" w:customStyle="1" w:styleId="CommentTextChar">
    <w:name w:val="Comment Text Char"/>
    <w:link w:val="CommentText"/>
    <w:rsid w:val="009B0842"/>
    <w:rPr>
      <w:lang w:eastAsia="en-US"/>
    </w:rPr>
  </w:style>
  <w:style w:type="paragraph" w:styleId="CommentSubject">
    <w:name w:val="annotation subject"/>
    <w:basedOn w:val="CommentText"/>
    <w:next w:val="CommentText"/>
    <w:link w:val="CommentSubjectChar"/>
    <w:rsid w:val="009B0842"/>
    <w:rPr>
      <w:b/>
      <w:bCs/>
    </w:rPr>
  </w:style>
  <w:style w:type="character" w:customStyle="1" w:styleId="CommentSubjectChar">
    <w:name w:val="Comment Subject Char"/>
    <w:link w:val="CommentSubject"/>
    <w:rsid w:val="009B0842"/>
    <w:rPr>
      <w:b/>
      <w:bCs/>
      <w:lang w:eastAsia="en-US"/>
    </w:rPr>
  </w:style>
  <w:style w:type="paragraph" w:styleId="Revision">
    <w:name w:val="Revision"/>
    <w:hidden/>
    <w:uiPriority w:val="99"/>
    <w:semiHidden/>
    <w:rsid w:val="009B0842"/>
    <w:rPr>
      <w:sz w:val="24"/>
      <w:szCs w:val="24"/>
      <w:lang w:eastAsia="en-US"/>
    </w:rPr>
  </w:style>
  <w:style w:type="character" w:customStyle="1" w:styleId="ParagraphChar">
    <w:name w:val="Paragraph Char"/>
    <w:link w:val="Paragraph"/>
    <w:rsid w:val="009B0842"/>
    <w:rPr>
      <w:color w:val="000000"/>
      <w:sz w:val="22"/>
      <w:lang w:eastAsia="en-US"/>
    </w:rPr>
  </w:style>
  <w:style w:type="character" w:styleId="Emphasis">
    <w:name w:val="Emphasis"/>
    <w:uiPriority w:val="20"/>
    <w:qFormat/>
    <w:rsid w:val="00341084"/>
    <w:rPr>
      <w:i/>
      <w:iCs/>
    </w:rPr>
  </w:style>
  <w:style w:type="paragraph" w:customStyle="1" w:styleId="Clausenumber">
    <w:name w:val="Clause number"/>
    <w:basedOn w:val="Normal"/>
    <w:qFormat/>
    <w:rsid w:val="00636DC0"/>
    <w:pPr>
      <w:numPr>
        <w:ilvl w:val="1"/>
        <w:numId w:val="5"/>
      </w:numPr>
      <w:tabs>
        <w:tab w:val="left" w:pos="720"/>
      </w:tabs>
      <w:jc w:val="both"/>
    </w:pPr>
    <w:rPr>
      <w:rFonts w:ascii="Arial" w:hAnsi="Arial" w:cs="Arial"/>
      <w:sz w:val="22"/>
      <w:szCs w:val="22"/>
    </w:rPr>
  </w:style>
  <w:style w:type="paragraph" w:customStyle="1" w:styleId="ClauseHeading">
    <w:name w:val="Clause Heading"/>
    <w:basedOn w:val="Heading2"/>
    <w:qFormat/>
    <w:rsid w:val="00636DC0"/>
    <w:pPr>
      <w:numPr>
        <w:numId w:val="5"/>
      </w:numPr>
      <w:tabs>
        <w:tab w:val="left" w:pos="720"/>
      </w:tabs>
    </w:pPr>
    <w:rPr>
      <w:rFonts w:cs="Arial"/>
      <w:bCs/>
      <w:sz w:val="22"/>
      <w:szCs w:val="24"/>
      <w:lang w:val="en-AU"/>
    </w:rPr>
  </w:style>
  <w:style w:type="paragraph" w:customStyle="1" w:styleId="Clausenonumber">
    <w:name w:val="Clause no number"/>
    <w:basedOn w:val="Normal"/>
    <w:qFormat/>
    <w:rsid w:val="00636DC0"/>
    <w:pPr>
      <w:ind w:left="720"/>
      <w:jc w:val="both"/>
    </w:pPr>
    <w:rPr>
      <w:rFonts w:ascii="Arial" w:hAnsi="Arial" w:cs="Arial"/>
      <w:sz w:val="22"/>
      <w:szCs w:val="22"/>
    </w:rPr>
  </w:style>
  <w:style w:type="paragraph" w:styleId="NormalWeb">
    <w:name w:val="Normal (Web)"/>
    <w:basedOn w:val="Normal"/>
    <w:uiPriority w:val="99"/>
    <w:unhideWhenUsed/>
    <w:rsid w:val="00787AEE"/>
    <w:pPr>
      <w:spacing w:before="100" w:beforeAutospacing="1" w:after="100" w:afterAutospacing="1"/>
    </w:pPr>
    <w:rPr>
      <w:lang w:eastAsia="en-AU"/>
    </w:rPr>
  </w:style>
  <w:style w:type="paragraph" w:styleId="NoSpacing">
    <w:name w:val="No Spacing"/>
    <w:uiPriority w:val="1"/>
    <w:qFormat/>
    <w:rsid w:val="00B2169D"/>
    <w:rPr>
      <w:rFonts w:ascii="Calibri" w:hAnsi="Calibri"/>
      <w:sz w:val="24"/>
      <w:szCs w:val="24"/>
      <w:lang w:eastAsia="en-US"/>
    </w:rPr>
  </w:style>
  <w:style w:type="paragraph" w:styleId="ListParagraph">
    <w:name w:val="List Paragraph"/>
    <w:basedOn w:val="Normal"/>
    <w:uiPriority w:val="34"/>
    <w:qFormat/>
    <w:rsid w:val="00086EE7"/>
    <w:pPr>
      <w:spacing w:after="200"/>
      <w:ind w:left="720"/>
      <w:contextualSpacing/>
    </w:pPr>
    <w:rPr>
      <w:rFonts w:ascii="Calibri" w:hAnsi="Calibri"/>
    </w:rPr>
  </w:style>
  <w:style w:type="character" w:customStyle="1" w:styleId="BodyText2Char">
    <w:name w:val="Body Text 2 Char"/>
    <w:link w:val="BodyText2"/>
    <w:locked/>
    <w:rsid w:val="00086EE7"/>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19189">
      <w:bodyDiv w:val="1"/>
      <w:marLeft w:val="60"/>
      <w:marRight w:val="60"/>
      <w:marTop w:val="60"/>
      <w:marBottom w:val="15"/>
      <w:divBdr>
        <w:top w:val="none" w:sz="0" w:space="0" w:color="auto"/>
        <w:left w:val="none" w:sz="0" w:space="0" w:color="auto"/>
        <w:bottom w:val="none" w:sz="0" w:space="0" w:color="auto"/>
        <w:right w:val="none" w:sz="0" w:space="0" w:color="auto"/>
      </w:divBdr>
      <w:divsChild>
        <w:div w:id="394544983">
          <w:marLeft w:val="0"/>
          <w:marRight w:val="0"/>
          <w:marTop w:val="0"/>
          <w:marBottom w:val="0"/>
          <w:divBdr>
            <w:top w:val="none" w:sz="0" w:space="0" w:color="auto"/>
            <w:left w:val="none" w:sz="0" w:space="0" w:color="auto"/>
            <w:bottom w:val="none" w:sz="0" w:space="0" w:color="auto"/>
            <w:right w:val="none" w:sz="0" w:space="0" w:color="auto"/>
          </w:divBdr>
          <w:divsChild>
            <w:div w:id="700664961">
              <w:marLeft w:val="0"/>
              <w:marRight w:val="0"/>
              <w:marTop w:val="0"/>
              <w:marBottom w:val="0"/>
              <w:divBdr>
                <w:top w:val="none" w:sz="0" w:space="0" w:color="auto"/>
                <w:left w:val="none" w:sz="0" w:space="0" w:color="auto"/>
                <w:bottom w:val="none" w:sz="0" w:space="0" w:color="auto"/>
                <w:right w:val="none" w:sz="0" w:space="0" w:color="auto"/>
              </w:divBdr>
              <w:divsChild>
                <w:div w:id="403183695">
                  <w:marLeft w:val="0"/>
                  <w:marRight w:val="0"/>
                  <w:marTop w:val="0"/>
                  <w:marBottom w:val="0"/>
                  <w:divBdr>
                    <w:top w:val="none" w:sz="0" w:space="0" w:color="auto"/>
                    <w:left w:val="none" w:sz="0" w:space="0" w:color="auto"/>
                    <w:bottom w:val="none" w:sz="0" w:space="0" w:color="auto"/>
                    <w:right w:val="none" w:sz="0" w:space="0" w:color="auto"/>
                  </w:divBdr>
                  <w:divsChild>
                    <w:div w:id="857739990">
                      <w:marLeft w:val="0"/>
                      <w:marRight w:val="0"/>
                      <w:marTop w:val="0"/>
                      <w:marBottom w:val="0"/>
                      <w:divBdr>
                        <w:top w:val="none" w:sz="0" w:space="0" w:color="auto"/>
                        <w:left w:val="none" w:sz="0" w:space="0" w:color="auto"/>
                        <w:bottom w:val="none" w:sz="0" w:space="0" w:color="auto"/>
                        <w:right w:val="none" w:sz="0" w:space="0" w:color="auto"/>
                      </w:divBdr>
                      <w:divsChild>
                        <w:div w:id="122038878">
                          <w:marLeft w:val="0"/>
                          <w:marRight w:val="0"/>
                          <w:marTop w:val="0"/>
                          <w:marBottom w:val="0"/>
                          <w:divBdr>
                            <w:top w:val="none" w:sz="0" w:space="0" w:color="auto"/>
                            <w:left w:val="none" w:sz="0" w:space="0" w:color="auto"/>
                            <w:bottom w:val="none" w:sz="0" w:space="0" w:color="auto"/>
                            <w:right w:val="none" w:sz="0" w:space="0" w:color="auto"/>
                          </w:divBdr>
                        </w:div>
                        <w:div w:id="147944857">
                          <w:marLeft w:val="0"/>
                          <w:marRight w:val="0"/>
                          <w:marTop w:val="0"/>
                          <w:marBottom w:val="0"/>
                          <w:divBdr>
                            <w:top w:val="none" w:sz="0" w:space="0" w:color="auto"/>
                            <w:left w:val="none" w:sz="0" w:space="0" w:color="auto"/>
                            <w:bottom w:val="none" w:sz="0" w:space="0" w:color="auto"/>
                            <w:right w:val="none" w:sz="0" w:space="0" w:color="auto"/>
                          </w:divBdr>
                        </w:div>
                        <w:div w:id="491261324">
                          <w:marLeft w:val="0"/>
                          <w:marRight w:val="0"/>
                          <w:marTop w:val="0"/>
                          <w:marBottom w:val="0"/>
                          <w:divBdr>
                            <w:top w:val="none" w:sz="0" w:space="0" w:color="auto"/>
                            <w:left w:val="none" w:sz="0" w:space="0" w:color="auto"/>
                            <w:bottom w:val="none" w:sz="0" w:space="0" w:color="auto"/>
                            <w:right w:val="none" w:sz="0" w:space="0" w:color="auto"/>
                          </w:divBdr>
                        </w:div>
                        <w:div w:id="537594522">
                          <w:marLeft w:val="0"/>
                          <w:marRight w:val="0"/>
                          <w:marTop w:val="0"/>
                          <w:marBottom w:val="0"/>
                          <w:divBdr>
                            <w:top w:val="none" w:sz="0" w:space="0" w:color="auto"/>
                            <w:left w:val="none" w:sz="0" w:space="0" w:color="auto"/>
                            <w:bottom w:val="none" w:sz="0" w:space="0" w:color="auto"/>
                            <w:right w:val="none" w:sz="0" w:space="0" w:color="auto"/>
                          </w:divBdr>
                          <w:divsChild>
                            <w:div w:id="967786396">
                              <w:marLeft w:val="0"/>
                              <w:marRight w:val="0"/>
                              <w:marTop w:val="0"/>
                              <w:marBottom w:val="0"/>
                              <w:divBdr>
                                <w:top w:val="none" w:sz="0" w:space="0" w:color="auto"/>
                                <w:left w:val="none" w:sz="0" w:space="0" w:color="auto"/>
                                <w:bottom w:val="none" w:sz="0" w:space="0" w:color="auto"/>
                                <w:right w:val="none" w:sz="0" w:space="0" w:color="auto"/>
                              </w:divBdr>
                            </w:div>
                            <w:div w:id="1825731756">
                              <w:marLeft w:val="0"/>
                              <w:marRight w:val="0"/>
                              <w:marTop w:val="0"/>
                              <w:marBottom w:val="0"/>
                              <w:divBdr>
                                <w:top w:val="none" w:sz="0" w:space="0" w:color="auto"/>
                                <w:left w:val="none" w:sz="0" w:space="0" w:color="auto"/>
                                <w:bottom w:val="none" w:sz="0" w:space="0" w:color="auto"/>
                                <w:right w:val="none" w:sz="0" w:space="0" w:color="auto"/>
                              </w:divBdr>
                            </w:div>
                          </w:divsChild>
                        </w:div>
                        <w:div w:id="1302224294">
                          <w:marLeft w:val="0"/>
                          <w:marRight w:val="0"/>
                          <w:marTop w:val="0"/>
                          <w:marBottom w:val="0"/>
                          <w:divBdr>
                            <w:top w:val="none" w:sz="0" w:space="0" w:color="auto"/>
                            <w:left w:val="none" w:sz="0" w:space="0" w:color="auto"/>
                            <w:bottom w:val="none" w:sz="0" w:space="0" w:color="auto"/>
                            <w:right w:val="none" w:sz="0" w:space="0" w:color="auto"/>
                          </w:divBdr>
                        </w:div>
                        <w:div w:id="1373380971">
                          <w:marLeft w:val="0"/>
                          <w:marRight w:val="0"/>
                          <w:marTop w:val="0"/>
                          <w:marBottom w:val="0"/>
                          <w:divBdr>
                            <w:top w:val="none" w:sz="0" w:space="0" w:color="auto"/>
                            <w:left w:val="none" w:sz="0" w:space="0" w:color="auto"/>
                            <w:bottom w:val="none" w:sz="0" w:space="0" w:color="auto"/>
                            <w:right w:val="none" w:sz="0" w:space="0" w:color="auto"/>
                          </w:divBdr>
                        </w:div>
                        <w:div w:id="1495760841">
                          <w:marLeft w:val="0"/>
                          <w:marRight w:val="0"/>
                          <w:marTop w:val="0"/>
                          <w:marBottom w:val="0"/>
                          <w:divBdr>
                            <w:top w:val="none" w:sz="0" w:space="0" w:color="auto"/>
                            <w:left w:val="none" w:sz="0" w:space="0" w:color="auto"/>
                            <w:bottom w:val="none" w:sz="0" w:space="0" w:color="auto"/>
                            <w:right w:val="none" w:sz="0" w:space="0" w:color="auto"/>
                          </w:divBdr>
                        </w:div>
                        <w:div w:id="1526796741">
                          <w:marLeft w:val="0"/>
                          <w:marRight w:val="0"/>
                          <w:marTop w:val="0"/>
                          <w:marBottom w:val="0"/>
                          <w:divBdr>
                            <w:top w:val="none" w:sz="0" w:space="0" w:color="auto"/>
                            <w:left w:val="none" w:sz="0" w:space="0" w:color="auto"/>
                            <w:bottom w:val="none" w:sz="0" w:space="0" w:color="auto"/>
                            <w:right w:val="none" w:sz="0" w:space="0" w:color="auto"/>
                          </w:divBdr>
                        </w:div>
                        <w:div w:id="1609578550">
                          <w:marLeft w:val="0"/>
                          <w:marRight w:val="0"/>
                          <w:marTop w:val="0"/>
                          <w:marBottom w:val="0"/>
                          <w:divBdr>
                            <w:top w:val="none" w:sz="0" w:space="0" w:color="auto"/>
                            <w:left w:val="none" w:sz="0" w:space="0" w:color="auto"/>
                            <w:bottom w:val="none" w:sz="0" w:space="0" w:color="auto"/>
                            <w:right w:val="none" w:sz="0" w:space="0" w:color="auto"/>
                          </w:divBdr>
                        </w:div>
                        <w:div w:id="1678455744">
                          <w:marLeft w:val="0"/>
                          <w:marRight w:val="0"/>
                          <w:marTop w:val="0"/>
                          <w:marBottom w:val="0"/>
                          <w:divBdr>
                            <w:top w:val="none" w:sz="0" w:space="0" w:color="auto"/>
                            <w:left w:val="none" w:sz="0" w:space="0" w:color="auto"/>
                            <w:bottom w:val="none" w:sz="0" w:space="0" w:color="auto"/>
                            <w:right w:val="none" w:sz="0" w:space="0" w:color="auto"/>
                          </w:divBdr>
                          <w:divsChild>
                            <w:div w:id="1126777096">
                              <w:marLeft w:val="0"/>
                              <w:marRight w:val="0"/>
                              <w:marTop w:val="0"/>
                              <w:marBottom w:val="0"/>
                              <w:divBdr>
                                <w:top w:val="none" w:sz="0" w:space="0" w:color="auto"/>
                                <w:left w:val="none" w:sz="0" w:space="0" w:color="auto"/>
                                <w:bottom w:val="none" w:sz="0" w:space="0" w:color="auto"/>
                                <w:right w:val="none" w:sz="0" w:space="0" w:color="auto"/>
                              </w:divBdr>
                            </w:div>
                          </w:divsChild>
                        </w:div>
                        <w:div w:id="1717731312">
                          <w:marLeft w:val="0"/>
                          <w:marRight w:val="0"/>
                          <w:marTop w:val="0"/>
                          <w:marBottom w:val="0"/>
                          <w:divBdr>
                            <w:top w:val="none" w:sz="0" w:space="0" w:color="auto"/>
                            <w:left w:val="none" w:sz="0" w:space="0" w:color="auto"/>
                            <w:bottom w:val="none" w:sz="0" w:space="0" w:color="auto"/>
                            <w:right w:val="none" w:sz="0" w:space="0" w:color="auto"/>
                          </w:divBdr>
                        </w:div>
                        <w:div w:id="1976373400">
                          <w:marLeft w:val="0"/>
                          <w:marRight w:val="0"/>
                          <w:marTop w:val="0"/>
                          <w:marBottom w:val="0"/>
                          <w:divBdr>
                            <w:top w:val="none" w:sz="0" w:space="0" w:color="auto"/>
                            <w:left w:val="none" w:sz="0" w:space="0" w:color="auto"/>
                            <w:bottom w:val="none" w:sz="0" w:space="0" w:color="auto"/>
                            <w:right w:val="none" w:sz="0" w:space="0" w:color="auto"/>
                          </w:divBdr>
                        </w:div>
                        <w:div w:id="2003242727">
                          <w:marLeft w:val="0"/>
                          <w:marRight w:val="0"/>
                          <w:marTop w:val="0"/>
                          <w:marBottom w:val="0"/>
                          <w:divBdr>
                            <w:top w:val="none" w:sz="0" w:space="0" w:color="auto"/>
                            <w:left w:val="none" w:sz="0" w:space="0" w:color="auto"/>
                            <w:bottom w:val="none" w:sz="0" w:space="0" w:color="auto"/>
                            <w:right w:val="none" w:sz="0" w:space="0" w:color="auto"/>
                          </w:divBdr>
                        </w:div>
                        <w:div w:id="202493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187393">
              <w:marLeft w:val="0"/>
              <w:marRight w:val="0"/>
              <w:marTop w:val="0"/>
              <w:marBottom w:val="0"/>
              <w:divBdr>
                <w:top w:val="none" w:sz="0" w:space="0" w:color="auto"/>
                <w:left w:val="none" w:sz="0" w:space="0" w:color="auto"/>
                <w:bottom w:val="none" w:sz="0" w:space="0" w:color="auto"/>
                <w:right w:val="none" w:sz="0" w:space="0" w:color="auto"/>
              </w:divBdr>
            </w:div>
          </w:divsChild>
        </w:div>
        <w:div w:id="445848803">
          <w:marLeft w:val="0"/>
          <w:marRight w:val="0"/>
          <w:marTop w:val="0"/>
          <w:marBottom w:val="0"/>
          <w:divBdr>
            <w:top w:val="none" w:sz="0" w:space="0" w:color="auto"/>
            <w:left w:val="none" w:sz="0" w:space="0" w:color="auto"/>
            <w:bottom w:val="none" w:sz="0" w:space="0" w:color="auto"/>
            <w:right w:val="none" w:sz="0" w:space="0" w:color="auto"/>
          </w:divBdr>
        </w:div>
        <w:div w:id="712192957">
          <w:marLeft w:val="0"/>
          <w:marRight w:val="0"/>
          <w:marTop w:val="0"/>
          <w:marBottom w:val="0"/>
          <w:divBdr>
            <w:top w:val="none" w:sz="0" w:space="0" w:color="auto"/>
            <w:left w:val="none" w:sz="0" w:space="0" w:color="auto"/>
            <w:bottom w:val="none" w:sz="0" w:space="0" w:color="auto"/>
            <w:right w:val="none" w:sz="0" w:space="0" w:color="auto"/>
          </w:divBdr>
        </w:div>
        <w:div w:id="2020346651">
          <w:marLeft w:val="0"/>
          <w:marRight w:val="0"/>
          <w:marTop w:val="0"/>
          <w:marBottom w:val="0"/>
          <w:divBdr>
            <w:top w:val="none" w:sz="0" w:space="0" w:color="auto"/>
            <w:left w:val="none" w:sz="0" w:space="0" w:color="auto"/>
            <w:bottom w:val="none" w:sz="0" w:space="0" w:color="auto"/>
            <w:right w:val="none" w:sz="0" w:space="0" w:color="auto"/>
          </w:divBdr>
        </w:div>
      </w:divsChild>
    </w:div>
    <w:div w:id="39133971">
      <w:bodyDiv w:val="1"/>
      <w:marLeft w:val="0"/>
      <w:marRight w:val="0"/>
      <w:marTop w:val="0"/>
      <w:marBottom w:val="0"/>
      <w:divBdr>
        <w:top w:val="none" w:sz="0" w:space="0" w:color="auto"/>
        <w:left w:val="none" w:sz="0" w:space="0" w:color="auto"/>
        <w:bottom w:val="none" w:sz="0" w:space="0" w:color="auto"/>
        <w:right w:val="none" w:sz="0" w:space="0" w:color="auto"/>
      </w:divBdr>
      <w:divsChild>
        <w:div w:id="541744501">
          <w:marLeft w:val="0"/>
          <w:marRight w:val="0"/>
          <w:marTop w:val="0"/>
          <w:marBottom w:val="0"/>
          <w:divBdr>
            <w:top w:val="none" w:sz="0" w:space="0" w:color="auto"/>
            <w:left w:val="none" w:sz="0" w:space="0" w:color="auto"/>
            <w:bottom w:val="none" w:sz="0" w:space="0" w:color="auto"/>
            <w:right w:val="none" w:sz="0" w:space="0" w:color="auto"/>
          </w:divBdr>
          <w:divsChild>
            <w:div w:id="543953061">
              <w:marLeft w:val="0"/>
              <w:marRight w:val="0"/>
              <w:marTop w:val="75"/>
              <w:marBottom w:val="0"/>
              <w:divBdr>
                <w:top w:val="none" w:sz="0" w:space="0" w:color="auto"/>
                <w:left w:val="none" w:sz="0" w:space="0" w:color="auto"/>
                <w:bottom w:val="none" w:sz="0" w:space="0" w:color="auto"/>
                <w:right w:val="none" w:sz="0" w:space="0" w:color="auto"/>
              </w:divBdr>
              <w:divsChild>
                <w:div w:id="736785864">
                  <w:marLeft w:val="0"/>
                  <w:marRight w:val="0"/>
                  <w:marTop w:val="0"/>
                  <w:marBottom w:val="0"/>
                  <w:divBdr>
                    <w:top w:val="none" w:sz="0" w:space="0" w:color="auto"/>
                    <w:left w:val="none" w:sz="0" w:space="0" w:color="auto"/>
                    <w:bottom w:val="none" w:sz="0" w:space="0" w:color="auto"/>
                    <w:right w:val="none" w:sz="0" w:space="0" w:color="auto"/>
                  </w:divBdr>
                  <w:divsChild>
                    <w:div w:id="75640439">
                      <w:marLeft w:val="0"/>
                      <w:marRight w:val="0"/>
                      <w:marTop w:val="0"/>
                      <w:marBottom w:val="0"/>
                      <w:divBdr>
                        <w:top w:val="none" w:sz="0" w:space="0" w:color="auto"/>
                        <w:left w:val="none" w:sz="0" w:space="0" w:color="auto"/>
                        <w:bottom w:val="none" w:sz="0" w:space="0" w:color="auto"/>
                        <w:right w:val="none" w:sz="0" w:space="0" w:color="auto"/>
                      </w:divBdr>
                      <w:divsChild>
                        <w:div w:id="635839120">
                          <w:marLeft w:val="0"/>
                          <w:marRight w:val="0"/>
                          <w:marTop w:val="0"/>
                          <w:marBottom w:val="0"/>
                          <w:divBdr>
                            <w:top w:val="none" w:sz="0" w:space="0" w:color="auto"/>
                            <w:left w:val="none" w:sz="0" w:space="0" w:color="auto"/>
                            <w:bottom w:val="none" w:sz="0" w:space="0" w:color="auto"/>
                            <w:right w:val="none" w:sz="0" w:space="0" w:color="auto"/>
                          </w:divBdr>
                          <w:divsChild>
                            <w:div w:id="2031491652">
                              <w:marLeft w:val="0"/>
                              <w:marRight w:val="0"/>
                              <w:marTop w:val="0"/>
                              <w:marBottom w:val="0"/>
                              <w:divBdr>
                                <w:top w:val="none" w:sz="0" w:space="0" w:color="auto"/>
                                <w:left w:val="none" w:sz="0" w:space="0" w:color="auto"/>
                                <w:bottom w:val="none" w:sz="0" w:space="0" w:color="auto"/>
                                <w:right w:val="none" w:sz="0" w:space="0" w:color="auto"/>
                              </w:divBdr>
                              <w:divsChild>
                                <w:div w:id="681590838">
                                  <w:marLeft w:val="0"/>
                                  <w:marRight w:val="0"/>
                                  <w:marTop w:val="0"/>
                                  <w:marBottom w:val="0"/>
                                  <w:divBdr>
                                    <w:top w:val="none" w:sz="0" w:space="0" w:color="auto"/>
                                    <w:left w:val="none" w:sz="0" w:space="0" w:color="auto"/>
                                    <w:bottom w:val="none" w:sz="0" w:space="0" w:color="auto"/>
                                    <w:right w:val="none" w:sz="0" w:space="0" w:color="auto"/>
                                  </w:divBdr>
                                  <w:divsChild>
                                    <w:div w:id="655181146">
                                      <w:marLeft w:val="0"/>
                                      <w:marRight w:val="0"/>
                                      <w:marTop w:val="0"/>
                                      <w:marBottom w:val="0"/>
                                      <w:divBdr>
                                        <w:top w:val="none" w:sz="0" w:space="0" w:color="auto"/>
                                        <w:left w:val="none" w:sz="0" w:space="0" w:color="auto"/>
                                        <w:bottom w:val="none" w:sz="0" w:space="0" w:color="auto"/>
                                        <w:right w:val="none" w:sz="0" w:space="0" w:color="auto"/>
                                      </w:divBdr>
                                      <w:divsChild>
                                        <w:div w:id="1284733291">
                                          <w:marLeft w:val="0"/>
                                          <w:marRight w:val="0"/>
                                          <w:marTop w:val="0"/>
                                          <w:marBottom w:val="0"/>
                                          <w:divBdr>
                                            <w:top w:val="none" w:sz="0" w:space="0" w:color="auto"/>
                                            <w:left w:val="none" w:sz="0" w:space="0" w:color="auto"/>
                                            <w:bottom w:val="none" w:sz="0" w:space="0" w:color="auto"/>
                                            <w:right w:val="none" w:sz="0" w:space="0" w:color="auto"/>
                                          </w:divBdr>
                                          <w:divsChild>
                                            <w:div w:id="970399768">
                                              <w:marLeft w:val="0"/>
                                              <w:marRight w:val="0"/>
                                              <w:marTop w:val="0"/>
                                              <w:marBottom w:val="0"/>
                                              <w:divBdr>
                                                <w:top w:val="none" w:sz="0" w:space="0" w:color="auto"/>
                                                <w:left w:val="none" w:sz="0" w:space="0" w:color="auto"/>
                                                <w:bottom w:val="none" w:sz="0" w:space="0" w:color="auto"/>
                                                <w:right w:val="none" w:sz="0" w:space="0" w:color="auto"/>
                                              </w:divBdr>
                                              <w:divsChild>
                                                <w:div w:id="289164825">
                                                  <w:marLeft w:val="0"/>
                                                  <w:marRight w:val="0"/>
                                                  <w:marTop w:val="0"/>
                                                  <w:marBottom w:val="0"/>
                                                  <w:divBdr>
                                                    <w:top w:val="none" w:sz="0" w:space="0" w:color="auto"/>
                                                    <w:left w:val="none" w:sz="0" w:space="0" w:color="auto"/>
                                                    <w:bottom w:val="none" w:sz="0" w:space="0" w:color="auto"/>
                                                    <w:right w:val="none" w:sz="0" w:space="0" w:color="auto"/>
                                                  </w:divBdr>
                                                  <w:divsChild>
                                                    <w:div w:id="1374496050">
                                                      <w:marLeft w:val="0"/>
                                                      <w:marRight w:val="0"/>
                                                      <w:marTop w:val="0"/>
                                                      <w:marBottom w:val="0"/>
                                                      <w:divBdr>
                                                        <w:top w:val="none" w:sz="0" w:space="0" w:color="auto"/>
                                                        <w:left w:val="none" w:sz="0" w:space="0" w:color="auto"/>
                                                        <w:bottom w:val="none" w:sz="0" w:space="0" w:color="auto"/>
                                                        <w:right w:val="none" w:sz="0" w:space="0" w:color="auto"/>
                                                      </w:divBdr>
                                                      <w:divsChild>
                                                        <w:div w:id="1023825314">
                                                          <w:marLeft w:val="0"/>
                                                          <w:marRight w:val="0"/>
                                                          <w:marTop w:val="0"/>
                                                          <w:marBottom w:val="0"/>
                                                          <w:divBdr>
                                                            <w:top w:val="none" w:sz="0" w:space="0" w:color="auto"/>
                                                            <w:left w:val="single" w:sz="6" w:space="0" w:color="E4E4E4"/>
                                                            <w:bottom w:val="none" w:sz="0" w:space="0" w:color="auto"/>
                                                            <w:right w:val="none" w:sz="0" w:space="0" w:color="auto"/>
                                                          </w:divBdr>
                                                          <w:divsChild>
                                                            <w:div w:id="1415011356">
                                                              <w:marLeft w:val="0"/>
                                                              <w:marRight w:val="0"/>
                                                              <w:marTop w:val="0"/>
                                                              <w:marBottom w:val="0"/>
                                                              <w:divBdr>
                                                                <w:top w:val="none" w:sz="0" w:space="0" w:color="auto"/>
                                                                <w:left w:val="none" w:sz="0" w:space="0" w:color="auto"/>
                                                                <w:bottom w:val="none" w:sz="0" w:space="0" w:color="auto"/>
                                                                <w:right w:val="none" w:sz="0" w:space="0" w:color="auto"/>
                                                              </w:divBdr>
                                                              <w:divsChild>
                                                                <w:div w:id="612324800">
                                                                  <w:marLeft w:val="0"/>
                                                                  <w:marRight w:val="0"/>
                                                                  <w:marTop w:val="0"/>
                                                                  <w:marBottom w:val="0"/>
                                                                  <w:divBdr>
                                                                    <w:top w:val="none" w:sz="0" w:space="0" w:color="auto"/>
                                                                    <w:left w:val="none" w:sz="0" w:space="0" w:color="auto"/>
                                                                    <w:bottom w:val="none" w:sz="0" w:space="0" w:color="auto"/>
                                                                    <w:right w:val="none" w:sz="0" w:space="0" w:color="auto"/>
                                                                  </w:divBdr>
                                                                  <w:divsChild>
                                                                    <w:div w:id="1616986945">
                                                                      <w:marLeft w:val="0"/>
                                                                      <w:marRight w:val="0"/>
                                                                      <w:marTop w:val="120"/>
                                                                      <w:marBottom w:val="0"/>
                                                                      <w:divBdr>
                                                                        <w:top w:val="none" w:sz="0" w:space="0" w:color="auto"/>
                                                                        <w:left w:val="none" w:sz="0" w:space="0" w:color="auto"/>
                                                                        <w:bottom w:val="none" w:sz="0" w:space="0" w:color="auto"/>
                                                                        <w:right w:val="none" w:sz="0" w:space="0" w:color="auto"/>
                                                                      </w:divBdr>
                                                                      <w:divsChild>
                                                                        <w:div w:id="26430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049216">
      <w:bodyDiv w:val="1"/>
      <w:marLeft w:val="0"/>
      <w:marRight w:val="0"/>
      <w:marTop w:val="0"/>
      <w:marBottom w:val="0"/>
      <w:divBdr>
        <w:top w:val="none" w:sz="0" w:space="0" w:color="auto"/>
        <w:left w:val="none" w:sz="0" w:space="0" w:color="auto"/>
        <w:bottom w:val="none" w:sz="0" w:space="0" w:color="auto"/>
        <w:right w:val="none" w:sz="0" w:space="0" w:color="auto"/>
      </w:divBdr>
    </w:div>
    <w:div w:id="343944559">
      <w:bodyDiv w:val="1"/>
      <w:marLeft w:val="0"/>
      <w:marRight w:val="0"/>
      <w:marTop w:val="0"/>
      <w:marBottom w:val="0"/>
      <w:divBdr>
        <w:top w:val="none" w:sz="0" w:space="0" w:color="auto"/>
        <w:left w:val="none" w:sz="0" w:space="0" w:color="auto"/>
        <w:bottom w:val="none" w:sz="0" w:space="0" w:color="auto"/>
        <w:right w:val="none" w:sz="0" w:space="0" w:color="auto"/>
      </w:divBdr>
      <w:divsChild>
        <w:div w:id="487478085">
          <w:marLeft w:val="0"/>
          <w:marRight w:val="0"/>
          <w:marTop w:val="150"/>
          <w:marBottom w:val="0"/>
          <w:divBdr>
            <w:top w:val="single" w:sz="6" w:space="4" w:color="A4B2BC"/>
            <w:left w:val="none" w:sz="0" w:space="0" w:color="auto"/>
            <w:bottom w:val="none" w:sz="0" w:space="0" w:color="auto"/>
            <w:right w:val="none" w:sz="0" w:space="0" w:color="auto"/>
          </w:divBdr>
          <w:divsChild>
            <w:div w:id="197357373">
              <w:marLeft w:val="0"/>
              <w:marRight w:val="0"/>
              <w:marTop w:val="0"/>
              <w:marBottom w:val="0"/>
              <w:divBdr>
                <w:top w:val="none" w:sz="0" w:space="0" w:color="auto"/>
                <w:left w:val="none" w:sz="0" w:space="0" w:color="auto"/>
                <w:bottom w:val="none" w:sz="0" w:space="0" w:color="auto"/>
                <w:right w:val="none" w:sz="0" w:space="0" w:color="auto"/>
              </w:divBdr>
              <w:divsChild>
                <w:div w:id="1869903690">
                  <w:marLeft w:val="0"/>
                  <w:marRight w:val="0"/>
                  <w:marTop w:val="0"/>
                  <w:marBottom w:val="0"/>
                  <w:divBdr>
                    <w:top w:val="none" w:sz="0" w:space="0" w:color="auto"/>
                    <w:left w:val="none" w:sz="0" w:space="0" w:color="auto"/>
                    <w:bottom w:val="none" w:sz="0" w:space="0" w:color="auto"/>
                    <w:right w:val="none" w:sz="0" w:space="0" w:color="auto"/>
                  </w:divBdr>
                  <w:divsChild>
                    <w:div w:id="118000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89894">
      <w:bodyDiv w:val="1"/>
      <w:marLeft w:val="0"/>
      <w:marRight w:val="0"/>
      <w:marTop w:val="0"/>
      <w:marBottom w:val="0"/>
      <w:divBdr>
        <w:top w:val="none" w:sz="0" w:space="0" w:color="auto"/>
        <w:left w:val="none" w:sz="0" w:space="0" w:color="auto"/>
        <w:bottom w:val="none" w:sz="0" w:space="0" w:color="auto"/>
        <w:right w:val="none" w:sz="0" w:space="0" w:color="auto"/>
      </w:divBdr>
      <w:divsChild>
        <w:div w:id="1924683846">
          <w:marLeft w:val="0"/>
          <w:marRight w:val="0"/>
          <w:marTop w:val="150"/>
          <w:marBottom w:val="0"/>
          <w:divBdr>
            <w:top w:val="single" w:sz="6" w:space="4" w:color="A4B2BC"/>
            <w:left w:val="none" w:sz="0" w:space="0" w:color="auto"/>
            <w:bottom w:val="none" w:sz="0" w:space="0" w:color="auto"/>
            <w:right w:val="none" w:sz="0" w:space="0" w:color="auto"/>
          </w:divBdr>
          <w:divsChild>
            <w:div w:id="1807114967">
              <w:marLeft w:val="0"/>
              <w:marRight w:val="0"/>
              <w:marTop w:val="0"/>
              <w:marBottom w:val="0"/>
              <w:divBdr>
                <w:top w:val="none" w:sz="0" w:space="0" w:color="auto"/>
                <w:left w:val="none" w:sz="0" w:space="0" w:color="auto"/>
                <w:bottom w:val="none" w:sz="0" w:space="0" w:color="auto"/>
                <w:right w:val="none" w:sz="0" w:space="0" w:color="auto"/>
              </w:divBdr>
              <w:divsChild>
                <w:div w:id="588544758">
                  <w:marLeft w:val="0"/>
                  <w:marRight w:val="0"/>
                  <w:marTop w:val="0"/>
                  <w:marBottom w:val="0"/>
                  <w:divBdr>
                    <w:top w:val="none" w:sz="0" w:space="0" w:color="auto"/>
                    <w:left w:val="none" w:sz="0" w:space="0" w:color="auto"/>
                    <w:bottom w:val="none" w:sz="0" w:space="0" w:color="auto"/>
                    <w:right w:val="none" w:sz="0" w:space="0" w:color="auto"/>
                  </w:divBdr>
                  <w:divsChild>
                    <w:div w:id="71304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928876">
      <w:bodyDiv w:val="1"/>
      <w:marLeft w:val="0"/>
      <w:marRight w:val="0"/>
      <w:marTop w:val="0"/>
      <w:marBottom w:val="0"/>
      <w:divBdr>
        <w:top w:val="none" w:sz="0" w:space="0" w:color="auto"/>
        <w:left w:val="none" w:sz="0" w:space="0" w:color="auto"/>
        <w:bottom w:val="none" w:sz="0" w:space="0" w:color="auto"/>
        <w:right w:val="none" w:sz="0" w:space="0" w:color="auto"/>
      </w:divBdr>
    </w:div>
    <w:div w:id="1311709554">
      <w:bodyDiv w:val="1"/>
      <w:marLeft w:val="0"/>
      <w:marRight w:val="0"/>
      <w:marTop w:val="0"/>
      <w:marBottom w:val="0"/>
      <w:divBdr>
        <w:top w:val="none" w:sz="0" w:space="0" w:color="auto"/>
        <w:left w:val="none" w:sz="0" w:space="0" w:color="auto"/>
        <w:bottom w:val="none" w:sz="0" w:space="0" w:color="auto"/>
        <w:right w:val="none" w:sz="0" w:space="0" w:color="auto"/>
      </w:divBdr>
      <w:divsChild>
        <w:div w:id="1057703903">
          <w:marLeft w:val="0"/>
          <w:marRight w:val="0"/>
          <w:marTop w:val="0"/>
          <w:marBottom w:val="0"/>
          <w:divBdr>
            <w:top w:val="none" w:sz="0" w:space="0" w:color="auto"/>
            <w:left w:val="none" w:sz="0" w:space="0" w:color="auto"/>
            <w:bottom w:val="none" w:sz="0" w:space="0" w:color="auto"/>
            <w:right w:val="none" w:sz="0" w:space="0" w:color="auto"/>
          </w:divBdr>
          <w:divsChild>
            <w:div w:id="1948345770">
              <w:marLeft w:val="0"/>
              <w:marRight w:val="0"/>
              <w:marTop w:val="0"/>
              <w:marBottom w:val="0"/>
              <w:divBdr>
                <w:top w:val="none" w:sz="0" w:space="0" w:color="auto"/>
                <w:left w:val="none" w:sz="0" w:space="0" w:color="auto"/>
                <w:bottom w:val="none" w:sz="0" w:space="0" w:color="auto"/>
                <w:right w:val="none" w:sz="0" w:space="0" w:color="auto"/>
              </w:divBdr>
              <w:divsChild>
                <w:div w:id="2035307532">
                  <w:marLeft w:val="0"/>
                  <w:marRight w:val="0"/>
                  <w:marTop w:val="0"/>
                  <w:marBottom w:val="0"/>
                  <w:divBdr>
                    <w:top w:val="none" w:sz="0" w:space="0" w:color="auto"/>
                    <w:left w:val="none" w:sz="0" w:space="0" w:color="auto"/>
                    <w:bottom w:val="none" w:sz="0" w:space="0" w:color="auto"/>
                    <w:right w:val="none" w:sz="0" w:space="0" w:color="auto"/>
                  </w:divBdr>
                  <w:divsChild>
                    <w:div w:id="58441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69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nance.nsw.gov.au/" TargetMode="External"/><Relationship Id="rId13" Type="http://schemas.openxmlformats.org/officeDocument/2006/relationships/hyperlink" Target="mailto:nswbuy@finance.nsw.gov.au" TargetMode="External"/><Relationship Id="rId18" Type="http://schemas.openxmlformats.org/officeDocument/2006/relationships/hyperlink" Target="https://www.procurepoint.nsw.gov.au/policies/nsw-procurement-board-directions/direction-2013-01" TargetMode="External"/><Relationship Id="rId26" Type="http://schemas.openxmlformats.org/officeDocument/2006/relationships/hyperlink" Target="http://www.legislation.nsw.gov.au/maintop/view/inforce/subordleg+674+2011+cd+0+N" TargetMode="External"/><Relationship Id="rId3" Type="http://schemas.openxmlformats.org/officeDocument/2006/relationships/styles" Target="styles.xml"/><Relationship Id="rId21" Type="http://schemas.openxmlformats.org/officeDocument/2006/relationships/hyperlink" Target="https://www.procurepoint.nsw.gov.au/policies/nsw-procurement-board-directions/direction-2013-01"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procurepoint.nsw.gov.au/scm0256" TargetMode="External"/><Relationship Id="rId17" Type="http://schemas.openxmlformats.org/officeDocument/2006/relationships/hyperlink" Target="https://www.procurepoint.nsw.gov.au/policies/nsw-procurement-board-directions/direction-2013-01" TargetMode="External"/><Relationship Id="rId25" Type="http://schemas.openxmlformats.org/officeDocument/2006/relationships/hyperlink" Target="http://www.legislation.nsw.gov.au/maintop/view/inforce/act+10+2011+cd+0+N"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procurepoint.nsw.gov.au/policies/nsw-procurement-board-directions/direction-2013-01" TargetMode="External"/><Relationship Id="rId20" Type="http://schemas.openxmlformats.org/officeDocument/2006/relationships/hyperlink" Target="https://www.procurepoint.nsw.gov.au/policies/nsw-procurement-board-directions/direction-2013-01"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ocurepoint.nsw.gov.au/scm0256" TargetMode="External"/><Relationship Id="rId24" Type="http://schemas.openxmlformats.org/officeDocument/2006/relationships/hyperlink" Target="https://www.procurepoint.nsw.gov.au/policies/nsw-procurement-board-directions/direction-2013-01"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procurepoint.nsw.gov.au/before-you-buy/procurement-system-construction/standard-form-documents-construction" TargetMode="External"/><Relationship Id="rId23" Type="http://schemas.openxmlformats.org/officeDocument/2006/relationships/hyperlink" Target="https://www.procurepoint.nsw.gov.au/policies/nsw-procurement-board-directions/direction-2013-01" TargetMode="External"/><Relationship Id="rId28" Type="http://schemas.openxmlformats.org/officeDocument/2006/relationships/header" Target="header2.xml"/><Relationship Id="rId10" Type="http://schemas.openxmlformats.org/officeDocument/2006/relationships/hyperlink" Target="https://tenders.nsw.gov.au/dfs/?event=public.scheme.show&amp;RFTUUID=7D2A4779-D15E-A9C4-7B3330FF7D82EED8" TargetMode="External"/><Relationship Id="rId19" Type="http://schemas.openxmlformats.org/officeDocument/2006/relationships/hyperlink" Target="https://www.procurepoint.nsw.gov.au/policies/nsw-procurement-board-directions/direction-2013-01"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tenders.nsw.gov.au" TargetMode="External"/><Relationship Id="rId22" Type="http://schemas.openxmlformats.org/officeDocument/2006/relationships/hyperlink" Target="https://www.procurepoint.nsw.gov.au/"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9B200-C123-4165-B8F0-4156C5F87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4003</Words>
  <Characters>25476</Characters>
  <Application>Microsoft Office Word</Application>
  <DocSecurity>0</DocSecurity>
  <Lines>212</Lines>
  <Paragraphs>58</Paragraphs>
  <ScaleCrop>false</ScaleCrop>
  <HeadingPairs>
    <vt:vector size="2" baseType="variant">
      <vt:variant>
        <vt:lpstr>Title</vt:lpstr>
      </vt:variant>
      <vt:variant>
        <vt:i4>1</vt:i4>
      </vt:variant>
    </vt:vector>
  </HeadingPairs>
  <TitlesOfParts>
    <vt:vector size="1" baseType="lpstr">
      <vt:lpstr>Contractor Prequalification and Best Practice Accreditation Scheme 2008-2010</vt:lpstr>
    </vt:vector>
  </TitlesOfParts>
  <Manager>Stuart Wood</Manager>
  <Company>NSW Government</Company>
  <LinksUpToDate>false</LinksUpToDate>
  <CharactersWithSpaces>29421</CharactersWithSpaces>
  <SharedDoc>false</SharedDoc>
  <HLinks>
    <vt:vector size="48" baseType="variant">
      <vt:variant>
        <vt:i4>2424869</vt:i4>
      </vt:variant>
      <vt:variant>
        <vt:i4>24</vt:i4>
      </vt:variant>
      <vt:variant>
        <vt:i4>0</vt:i4>
      </vt:variant>
      <vt:variant>
        <vt:i4>5</vt:i4>
      </vt:variant>
      <vt:variant>
        <vt:lpwstr>https://tenders.nsw.gov.au/</vt:lpwstr>
      </vt:variant>
      <vt:variant>
        <vt:lpwstr/>
      </vt:variant>
      <vt:variant>
        <vt:i4>9</vt:i4>
      </vt:variant>
      <vt:variant>
        <vt:i4>21</vt:i4>
      </vt:variant>
      <vt:variant>
        <vt:i4>0</vt:i4>
      </vt:variant>
      <vt:variant>
        <vt:i4>5</vt:i4>
      </vt:variant>
      <vt:variant>
        <vt:lpwstr>https://www.procurepoint.nsw.gov.au/</vt:lpwstr>
      </vt:variant>
      <vt:variant>
        <vt:lpwstr/>
      </vt:variant>
      <vt:variant>
        <vt:i4>4325459</vt:i4>
      </vt:variant>
      <vt:variant>
        <vt:i4>18</vt:i4>
      </vt:variant>
      <vt:variant>
        <vt:i4>0</vt:i4>
      </vt:variant>
      <vt:variant>
        <vt:i4>5</vt:i4>
      </vt:variant>
      <vt:variant>
        <vt:lpwstr>http://www.legislation.nsw.gov.au/maintop/view/inforce/subordleg+674+2011+cd+0+N</vt:lpwstr>
      </vt:variant>
      <vt:variant>
        <vt:lpwstr/>
      </vt:variant>
      <vt:variant>
        <vt:i4>5701657</vt:i4>
      </vt:variant>
      <vt:variant>
        <vt:i4>15</vt:i4>
      </vt:variant>
      <vt:variant>
        <vt:i4>0</vt:i4>
      </vt:variant>
      <vt:variant>
        <vt:i4>5</vt:i4>
      </vt:variant>
      <vt:variant>
        <vt:lpwstr>http://www.legislation.nsw.gov.au/maintop/view/inforce/act+10+2011+cd+0+N</vt:lpwstr>
      </vt:variant>
      <vt:variant>
        <vt:lpwstr/>
      </vt:variant>
      <vt:variant>
        <vt:i4>9</vt:i4>
      </vt:variant>
      <vt:variant>
        <vt:i4>12</vt:i4>
      </vt:variant>
      <vt:variant>
        <vt:i4>0</vt:i4>
      </vt:variant>
      <vt:variant>
        <vt:i4>5</vt:i4>
      </vt:variant>
      <vt:variant>
        <vt:lpwstr>https://www.procurepoint.nsw.gov.au/</vt:lpwstr>
      </vt:variant>
      <vt:variant>
        <vt:lpwstr/>
      </vt:variant>
      <vt:variant>
        <vt:i4>9</vt:i4>
      </vt:variant>
      <vt:variant>
        <vt:i4>9</vt:i4>
      </vt:variant>
      <vt:variant>
        <vt:i4>0</vt:i4>
      </vt:variant>
      <vt:variant>
        <vt:i4>5</vt:i4>
      </vt:variant>
      <vt:variant>
        <vt:lpwstr>https://www.procurepoint.nsw.gov.au/</vt:lpwstr>
      </vt:variant>
      <vt:variant>
        <vt:lpwstr/>
      </vt:variant>
      <vt:variant>
        <vt:i4>2424869</vt:i4>
      </vt:variant>
      <vt:variant>
        <vt:i4>6</vt:i4>
      </vt:variant>
      <vt:variant>
        <vt:i4>0</vt:i4>
      </vt:variant>
      <vt:variant>
        <vt:i4>5</vt:i4>
      </vt:variant>
      <vt:variant>
        <vt:lpwstr>https://tenders.nsw.gov.au/</vt:lpwstr>
      </vt:variant>
      <vt:variant>
        <vt:lpwstr/>
      </vt:variant>
      <vt:variant>
        <vt:i4>2424869</vt:i4>
      </vt:variant>
      <vt:variant>
        <vt:i4>0</vt:i4>
      </vt:variant>
      <vt:variant>
        <vt:i4>0</vt:i4>
      </vt:variant>
      <vt:variant>
        <vt:i4>5</vt:i4>
      </vt:variant>
      <vt:variant>
        <vt:lpwstr>https://tenders.nsw.gov.au/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 Prequalification and Best Practice Accreditation Scheme 2008-2010</dc:title>
  <dc:subject>Service provider selection</dc:subject>
  <dc:creator>Sol Voron</dc:creator>
  <cp:keywords>Service provider selection</cp:keywords>
  <dc:description>Amendment date: 7 September 2009</dc:description>
  <cp:lastModifiedBy>Praveen Pedagandham</cp:lastModifiedBy>
  <cp:revision>7</cp:revision>
  <cp:lastPrinted>2014-11-04T23:03:00Z</cp:lastPrinted>
  <dcterms:created xsi:type="dcterms:W3CDTF">2017-11-22T22:28:00Z</dcterms:created>
  <dcterms:modified xsi:type="dcterms:W3CDTF">2017-12-03T22:41:00Z</dcterms:modified>
  <cp:category>Procurement System for Construction</cp:category>
</cp:coreProperties>
</file>